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39136" w14:textId="77777777" w:rsidR="00084D82" w:rsidRPr="009458F9" w:rsidRDefault="00084D82" w:rsidP="00084D82">
      <w:pPr>
        <w:spacing w:line="360" w:lineRule="auto"/>
        <w:jc w:val="center"/>
        <w:rPr>
          <w:rFonts w:ascii="Times New Roman" w:hAnsi="Times New Roman" w:cs="Times New Roman"/>
        </w:rPr>
      </w:pPr>
      <w:r w:rsidRPr="002E6AD8">
        <w:rPr>
          <w:rFonts w:ascii="Times New Roman" w:hAnsi="Times New Roman" w:cs="Times New Roman"/>
          <w:b/>
          <w:bCs/>
          <w:sz w:val="28"/>
          <w:szCs w:val="28"/>
        </w:rPr>
        <w:t>Ballot Shortage Risk Analysis and Demand Forecast for Local Elections</w:t>
      </w:r>
    </w:p>
    <w:p w14:paraId="47E6AC8B" w14:textId="77777777" w:rsidR="00084D82" w:rsidRPr="001277EE" w:rsidRDefault="00084D82" w:rsidP="00084D82">
      <w:pPr>
        <w:spacing w:after="0" w:line="240" w:lineRule="auto"/>
        <w:jc w:val="right"/>
        <w:rPr>
          <w:rFonts w:ascii="Times New Roman" w:hAnsi="Times New Roman" w:cs="Times New Roman"/>
          <w:sz w:val="20"/>
          <w:szCs w:val="20"/>
        </w:rPr>
      </w:pPr>
      <w:r w:rsidRPr="001277EE">
        <w:rPr>
          <w:rFonts w:ascii="Times New Roman" w:hAnsi="Times New Roman" w:cs="Times New Roman" w:hint="eastAsia"/>
          <w:sz w:val="20"/>
          <w:szCs w:val="20"/>
        </w:rPr>
        <w:t>P</w:t>
      </w:r>
      <w:r w:rsidRPr="001277EE">
        <w:rPr>
          <w:rFonts w:ascii="Times New Roman" w:hAnsi="Times New Roman" w:cs="Times New Roman"/>
          <w:sz w:val="20"/>
          <w:szCs w:val="20"/>
        </w:rPr>
        <w:t>rogramming Fundamentals Using Python</w:t>
      </w:r>
    </w:p>
    <w:p w14:paraId="777627EF" w14:textId="77777777" w:rsidR="00084D82" w:rsidRPr="001277EE" w:rsidRDefault="00084D82" w:rsidP="00084D82">
      <w:pPr>
        <w:spacing w:after="0" w:line="240" w:lineRule="auto"/>
        <w:jc w:val="right"/>
        <w:rPr>
          <w:rFonts w:ascii="Times New Roman" w:hAnsi="Times New Roman" w:cs="Times New Roman"/>
          <w:sz w:val="20"/>
          <w:szCs w:val="20"/>
        </w:rPr>
      </w:pPr>
      <w:r w:rsidRPr="001277EE">
        <w:rPr>
          <w:rFonts w:ascii="Times New Roman" w:hAnsi="Times New Roman" w:cs="Times New Roman"/>
          <w:sz w:val="20"/>
          <w:szCs w:val="20"/>
        </w:rPr>
        <w:t>2026 Summer Semester, Group 6</w:t>
      </w:r>
    </w:p>
    <w:p w14:paraId="08A00000" w14:textId="673A7F85" w:rsidR="00084D82" w:rsidRPr="001277EE" w:rsidRDefault="00084D82" w:rsidP="00084D82">
      <w:pPr>
        <w:spacing w:after="0" w:line="240" w:lineRule="auto"/>
        <w:jc w:val="right"/>
        <w:rPr>
          <w:rFonts w:ascii="Times New Roman" w:hAnsi="Times New Roman" w:cs="Times New Roman"/>
          <w:sz w:val="20"/>
          <w:szCs w:val="20"/>
        </w:rPr>
      </w:pPr>
      <w:hyperlink r:id="rId7" w:history="1">
        <w:r w:rsidRPr="001277EE">
          <w:rPr>
            <w:rStyle w:val="Hyperlink"/>
            <w:rFonts w:ascii="Times New Roman" w:hAnsi="Times New Roman" w:cs="Times New Roman"/>
            <w:color w:val="auto"/>
            <w:sz w:val="20"/>
            <w:szCs w:val="20"/>
            <w:u w:val="none"/>
          </w:rPr>
          <w:t xml:space="preserve">PARK, </w:t>
        </w:r>
        <w:proofErr w:type="spellStart"/>
        <w:r w:rsidRPr="001277EE">
          <w:rPr>
            <w:rStyle w:val="Hyperlink"/>
            <w:rFonts w:ascii="Times New Roman" w:hAnsi="Times New Roman" w:cs="Times New Roman"/>
            <w:color w:val="auto"/>
            <w:sz w:val="20"/>
            <w:szCs w:val="20"/>
            <w:u w:val="none"/>
          </w:rPr>
          <w:t>Kwangkeun</w:t>
        </w:r>
        <w:proofErr w:type="spellEnd"/>
      </w:hyperlink>
      <w:r w:rsidRPr="001277EE">
        <w:rPr>
          <w:rFonts w:ascii="Times New Roman" w:hAnsi="Times New Roman" w:cs="Times New Roman" w:hint="eastAsia"/>
          <w:sz w:val="20"/>
          <w:szCs w:val="20"/>
        </w:rPr>
        <w:t xml:space="preserve"> 202611194 </w:t>
      </w:r>
      <w:hyperlink r:id="rId8" w:history="1">
        <w:r w:rsidRPr="001277EE">
          <w:rPr>
            <w:rStyle w:val="Hyperlink"/>
            <w:rFonts w:ascii="Times New Roman" w:hAnsi="Times New Roman" w:cs="Times New Roman"/>
            <w:color w:val="auto"/>
            <w:sz w:val="20"/>
            <w:szCs w:val="20"/>
            <w:u w:val="none"/>
          </w:rPr>
          <w:t xml:space="preserve">JANG, </w:t>
        </w:r>
        <w:proofErr w:type="spellStart"/>
        <w:r w:rsidRPr="001277EE">
          <w:rPr>
            <w:rStyle w:val="Hyperlink"/>
            <w:rFonts w:ascii="Times New Roman" w:hAnsi="Times New Roman" w:cs="Times New Roman"/>
            <w:color w:val="auto"/>
            <w:sz w:val="20"/>
            <w:szCs w:val="20"/>
            <w:u w:val="none"/>
          </w:rPr>
          <w:t>Jaewook</w:t>
        </w:r>
        <w:proofErr w:type="spellEnd"/>
      </w:hyperlink>
      <w:r w:rsidRPr="001277EE">
        <w:rPr>
          <w:rFonts w:ascii="Times New Roman" w:hAnsi="Times New Roman" w:cs="Times New Roman" w:hint="eastAsia"/>
          <w:sz w:val="20"/>
          <w:szCs w:val="20"/>
        </w:rPr>
        <w:t xml:space="preserve"> 202611080 </w:t>
      </w:r>
    </w:p>
    <w:p w14:paraId="3413AE7D" w14:textId="555417FE" w:rsidR="00084D82" w:rsidRPr="001277EE" w:rsidRDefault="00084D82" w:rsidP="00084D82">
      <w:pPr>
        <w:spacing w:after="0" w:line="240" w:lineRule="auto"/>
        <w:jc w:val="right"/>
        <w:rPr>
          <w:rFonts w:ascii="Times New Roman" w:hAnsi="Times New Roman" w:cs="Times New Roman" w:hint="eastAsia"/>
          <w:sz w:val="20"/>
          <w:szCs w:val="20"/>
        </w:rPr>
      </w:pPr>
      <w:hyperlink r:id="rId9" w:history="1">
        <w:r w:rsidRPr="001277EE">
          <w:rPr>
            <w:rStyle w:val="Hyperlink"/>
            <w:rFonts w:ascii="Times New Roman" w:hAnsi="Times New Roman" w:cs="Times New Roman"/>
            <w:color w:val="auto"/>
            <w:sz w:val="20"/>
            <w:szCs w:val="20"/>
            <w:u w:val="none"/>
          </w:rPr>
          <w:t xml:space="preserve">PARK, </w:t>
        </w:r>
        <w:proofErr w:type="spellStart"/>
        <w:r w:rsidRPr="001277EE">
          <w:rPr>
            <w:rStyle w:val="Hyperlink"/>
            <w:rFonts w:ascii="Times New Roman" w:hAnsi="Times New Roman" w:cs="Times New Roman"/>
            <w:color w:val="auto"/>
            <w:sz w:val="20"/>
            <w:szCs w:val="20"/>
            <w:u w:val="none"/>
          </w:rPr>
          <w:t>Jungeun</w:t>
        </w:r>
        <w:proofErr w:type="spellEnd"/>
      </w:hyperlink>
      <w:r w:rsidRPr="001277EE">
        <w:rPr>
          <w:rFonts w:ascii="Times New Roman" w:hAnsi="Times New Roman" w:cs="Times New Roman" w:hint="eastAsia"/>
          <w:sz w:val="20"/>
          <w:szCs w:val="20"/>
        </w:rPr>
        <w:t xml:space="preserve"> 202611205 </w:t>
      </w:r>
      <w:hyperlink r:id="rId10" w:history="1">
        <w:r w:rsidRPr="001277EE">
          <w:rPr>
            <w:rStyle w:val="Hyperlink"/>
            <w:rFonts w:ascii="Times New Roman" w:hAnsi="Times New Roman" w:cs="Times New Roman"/>
            <w:color w:val="auto"/>
            <w:sz w:val="20"/>
            <w:szCs w:val="20"/>
            <w:u w:val="none"/>
          </w:rPr>
          <w:t>SEO, Raun</w:t>
        </w:r>
      </w:hyperlink>
      <w:r w:rsidRPr="001277EE">
        <w:rPr>
          <w:rFonts w:ascii="Times New Roman" w:hAnsi="Times New Roman" w:cs="Times New Roman" w:hint="eastAsia"/>
          <w:sz w:val="20"/>
          <w:szCs w:val="20"/>
        </w:rPr>
        <w:t xml:space="preserve"> 202611200</w:t>
      </w:r>
    </w:p>
    <w:p w14:paraId="0A1D9450" w14:textId="77777777" w:rsidR="00084D82" w:rsidRDefault="00084D82" w:rsidP="00084D82">
      <w:pPr>
        <w:spacing w:after="0" w:line="360" w:lineRule="auto"/>
        <w:jc w:val="both"/>
        <w:rPr>
          <w:rFonts w:ascii="Times New Roman" w:hAnsi="Times New Roman" w:cs="Times New Roman"/>
        </w:rPr>
      </w:pPr>
    </w:p>
    <w:p w14:paraId="18ED8CF9" w14:textId="034F52E1" w:rsidR="001277EE" w:rsidRPr="001277EE" w:rsidRDefault="001277EE" w:rsidP="001277EE">
      <w:pPr>
        <w:spacing w:after="0" w:line="480" w:lineRule="auto"/>
        <w:ind w:firstLine="720"/>
        <w:jc w:val="both"/>
        <w:rPr>
          <w:rFonts w:ascii="Times New Roman" w:hAnsi="Times New Roman" w:cs="Times New Roman"/>
          <w:sz w:val="20"/>
          <w:szCs w:val="20"/>
        </w:rPr>
      </w:pPr>
      <w:r w:rsidRPr="001277EE">
        <w:rPr>
          <w:rFonts w:ascii="Times New Roman" w:hAnsi="Times New Roman" w:cs="Times New Roman"/>
          <w:sz w:val="20"/>
          <w:szCs w:val="20"/>
        </w:rPr>
        <w:t xml:space="preserve">This project was motivated by ballot-paper shortages during Korea's 9th nationwide local election on June 3, 2026, when several polling stations experienced shortages and voting delays. Rather than treating the issue solely as an administrative mistake, we examined whether historical election data could improve ballot preparation by identifying regional ballot-shortage risk. Our research question was whether publicly available local-election data could reveal differences in Election-Day ballot demand across </w:t>
      </w:r>
      <w:proofErr w:type="spellStart"/>
      <w:r w:rsidRPr="001277EE">
        <w:rPr>
          <w:rFonts w:ascii="Times New Roman" w:hAnsi="Times New Roman" w:cs="Times New Roman"/>
          <w:sz w:val="20"/>
          <w:szCs w:val="20"/>
        </w:rPr>
        <w:t>eup</w:t>
      </w:r>
      <w:proofErr w:type="spellEnd"/>
      <w:r w:rsidRPr="001277EE">
        <w:rPr>
          <w:rFonts w:ascii="Times New Roman" w:hAnsi="Times New Roman" w:cs="Times New Roman"/>
          <w:sz w:val="20"/>
          <w:szCs w:val="20"/>
        </w:rPr>
        <w:t>-</w:t>
      </w:r>
      <w:proofErr w:type="spellStart"/>
      <w:r w:rsidRPr="001277EE">
        <w:rPr>
          <w:rFonts w:ascii="Times New Roman" w:hAnsi="Times New Roman" w:cs="Times New Roman"/>
          <w:sz w:val="20"/>
          <w:szCs w:val="20"/>
        </w:rPr>
        <w:t>myeon</w:t>
      </w:r>
      <w:proofErr w:type="spellEnd"/>
      <w:r w:rsidRPr="001277EE">
        <w:rPr>
          <w:rFonts w:ascii="Times New Roman" w:hAnsi="Times New Roman" w:cs="Times New Roman"/>
          <w:sz w:val="20"/>
          <w:szCs w:val="20"/>
        </w:rPr>
        <w:t>-</w:t>
      </w:r>
      <w:proofErr w:type="gramStart"/>
      <w:r w:rsidRPr="001277EE">
        <w:rPr>
          <w:rFonts w:ascii="Times New Roman" w:hAnsi="Times New Roman" w:cs="Times New Roman"/>
          <w:sz w:val="20"/>
          <w:szCs w:val="20"/>
        </w:rPr>
        <w:t>dong</w:t>
      </w:r>
      <w:proofErr w:type="gramEnd"/>
      <w:r w:rsidRPr="001277EE">
        <w:rPr>
          <w:rFonts w:ascii="Times New Roman" w:hAnsi="Times New Roman" w:cs="Times New Roman"/>
          <w:sz w:val="20"/>
          <w:szCs w:val="20"/>
        </w:rPr>
        <w:t xml:space="preserve"> areas and support a simple statistical forecasting model.</w:t>
      </w:r>
      <w:r>
        <w:rPr>
          <w:rStyle w:val="FootnoteReference"/>
          <w:rFonts w:ascii="Times New Roman" w:hAnsi="Times New Roman" w:cs="Times New Roman"/>
          <w:sz w:val="20"/>
          <w:szCs w:val="20"/>
        </w:rPr>
        <w:footnoteReference w:id="1"/>
      </w:r>
    </w:p>
    <w:p w14:paraId="3E7AD1E9" w14:textId="77777777" w:rsidR="001277EE" w:rsidRPr="001277EE" w:rsidRDefault="001277EE" w:rsidP="001277EE">
      <w:pPr>
        <w:spacing w:after="0" w:line="480" w:lineRule="auto"/>
        <w:jc w:val="both"/>
        <w:rPr>
          <w:rFonts w:ascii="Times New Roman" w:hAnsi="Times New Roman" w:cs="Times New Roman"/>
          <w:sz w:val="20"/>
          <w:szCs w:val="20"/>
        </w:rPr>
      </w:pPr>
    </w:p>
    <w:p w14:paraId="6C45DEA8" w14:textId="59E141E0" w:rsidR="001277EE" w:rsidRPr="001277EE" w:rsidRDefault="001277EE" w:rsidP="001277EE">
      <w:pPr>
        <w:spacing w:after="0" w:line="480" w:lineRule="auto"/>
        <w:jc w:val="both"/>
        <w:rPr>
          <w:rFonts w:ascii="Times New Roman" w:hAnsi="Times New Roman" w:cs="Times New Roman"/>
          <w:sz w:val="20"/>
          <w:szCs w:val="20"/>
        </w:rPr>
      </w:pPr>
      <w:r w:rsidRPr="001277EE">
        <w:rPr>
          <w:rFonts w:ascii="Times New Roman" w:hAnsi="Times New Roman" w:cs="Times New Roman"/>
          <w:sz w:val="20"/>
          <w:szCs w:val="20"/>
        </w:rPr>
        <w:t xml:space="preserve">We constructed an integrated dataset from the 6th, 7th, and 8th Korean local elections by cleaning, standardizing, and merging National Election Commission election results with </w:t>
      </w:r>
      <w:proofErr w:type="spellStart"/>
      <w:r w:rsidRPr="001277EE">
        <w:rPr>
          <w:rFonts w:ascii="Times New Roman" w:hAnsi="Times New Roman" w:cs="Times New Roman"/>
          <w:sz w:val="20"/>
          <w:szCs w:val="20"/>
        </w:rPr>
        <w:t>eup</w:t>
      </w:r>
      <w:proofErr w:type="spellEnd"/>
      <w:r w:rsidRPr="001277EE">
        <w:rPr>
          <w:rFonts w:ascii="Times New Roman" w:hAnsi="Times New Roman" w:cs="Times New Roman"/>
          <w:sz w:val="20"/>
          <w:szCs w:val="20"/>
        </w:rPr>
        <w:t>-</w:t>
      </w:r>
      <w:proofErr w:type="spellStart"/>
      <w:r w:rsidRPr="001277EE">
        <w:rPr>
          <w:rFonts w:ascii="Times New Roman" w:hAnsi="Times New Roman" w:cs="Times New Roman"/>
          <w:sz w:val="20"/>
          <w:szCs w:val="20"/>
        </w:rPr>
        <w:t>myeon</w:t>
      </w:r>
      <w:proofErr w:type="spellEnd"/>
      <w:r w:rsidRPr="001277EE">
        <w:rPr>
          <w:rFonts w:ascii="Times New Roman" w:hAnsi="Times New Roman" w:cs="Times New Roman"/>
          <w:sz w:val="20"/>
          <w:szCs w:val="20"/>
        </w:rPr>
        <w:t xml:space="preserve">-dong-level registered-voter data. The final dataset contained 10,492 observations, including 3,267 regions consistently linked across all three elections. The main variables were registered voters, Election-Day votes, and the Election-Day turnout rate (Election-Day votes ÷ registered voters). </w:t>
      </w:r>
      <w:proofErr w:type="spellStart"/>
      <w:r w:rsidRPr="001277EE">
        <w:rPr>
          <w:rFonts w:ascii="Times New Roman" w:hAnsi="Times New Roman" w:cs="Times New Roman"/>
          <w:sz w:val="20"/>
          <w:szCs w:val="20"/>
        </w:rPr>
        <w:t>Eup</w:t>
      </w:r>
      <w:proofErr w:type="spellEnd"/>
      <w:r w:rsidRPr="001277EE">
        <w:rPr>
          <w:rFonts w:ascii="Times New Roman" w:hAnsi="Times New Roman" w:cs="Times New Roman"/>
          <w:sz w:val="20"/>
          <w:szCs w:val="20"/>
        </w:rPr>
        <w:t>-</w:t>
      </w:r>
      <w:proofErr w:type="spellStart"/>
      <w:r w:rsidRPr="001277EE">
        <w:rPr>
          <w:rFonts w:ascii="Times New Roman" w:hAnsi="Times New Roman" w:cs="Times New Roman"/>
          <w:sz w:val="20"/>
          <w:szCs w:val="20"/>
        </w:rPr>
        <w:t>myeon</w:t>
      </w:r>
      <w:proofErr w:type="spellEnd"/>
      <w:r w:rsidRPr="001277EE">
        <w:rPr>
          <w:rFonts w:ascii="Times New Roman" w:hAnsi="Times New Roman" w:cs="Times New Roman"/>
          <w:sz w:val="20"/>
          <w:szCs w:val="20"/>
        </w:rPr>
        <w:t>-dong was selected because it is the most detailed geographic unit consistently available in the public data.</w:t>
      </w:r>
      <w:r>
        <w:rPr>
          <w:rStyle w:val="FootnoteReference"/>
          <w:rFonts w:ascii="Times New Roman" w:hAnsi="Times New Roman" w:cs="Times New Roman"/>
          <w:sz w:val="20"/>
          <w:szCs w:val="20"/>
        </w:rPr>
        <w:footnoteReference w:id="2"/>
      </w:r>
    </w:p>
    <w:p w14:paraId="39E9DF3D" w14:textId="77777777" w:rsidR="001277EE" w:rsidRPr="001277EE" w:rsidRDefault="001277EE" w:rsidP="001277EE">
      <w:pPr>
        <w:spacing w:after="0" w:line="480" w:lineRule="auto"/>
        <w:jc w:val="both"/>
        <w:rPr>
          <w:rFonts w:ascii="Times New Roman" w:hAnsi="Times New Roman" w:cs="Times New Roman"/>
          <w:sz w:val="20"/>
          <w:szCs w:val="20"/>
        </w:rPr>
      </w:pPr>
    </w:p>
    <w:p w14:paraId="4F7BC7B2" w14:textId="77777777" w:rsidR="001277EE" w:rsidRPr="001277EE" w:rsidRDefault="001277EE" w:rsidP="001277EE">
      <w:pPr>
        <w:spacing w:after="0" w:line="480" w:lineRule="auto"/>
        <w:jc w:val="both"/>
        <w:rPr>
          <w:rFonts w:ascii="Times New Roman" w:hAnsi="Times New Roman" w:cs="Times New Roman"/>
          <w:sz w:val="20"/>
          <w:szCs w:val="20"/>
        </w:rPr>
      </w:pPr>
      <w:r w:rsidRPr="001277EE">
        <w:rPr>
          <w:rFonts w:ascii="Times New Roman" w:hAnsi="Times New Roman" w:cs="Times New Roman"/>
          <w:sz w:val="20"/>
          <w:szCs w:val="20"/>
        </w:rPr>
        <w:t xml:space="preserve">Our first analysis examined fixed ballot-preparation ratios of 50% and 60% of registered voters. Under the 50% rule, 950 of 3,486 </w:t>
      </w:r>
      <w:proofErr w:type="spellStart"/>
      <w:r w:rsidRPr="001277EE">
        <w:rPr>
          <w:rFonts w:ascii="Times New Roman" w:hAnsi="Times New Roman" w:cs="Times New Roman"/>
          <w:sz w:val="20"/>
          <w:szCs w:val="20"/>
        </w:rPr>
        <w:t>eup</w:t>
      </w:r>
      <w:proofErr w:type="spellEnd"/>
      <w:r w:rsidRPr="001277EE">
        <w:rPr>
          <w:rFonts w:ascii="Times New Roman" w:hAnsi="Times New Roman" w:cs="Times New Roman"/>
          <w:sz w:val="20"/>
          <w:szCs w:val="20"/>
        </w:rPr>
        <w:t>-</w:t>
      </w:r>
      <w:proofErr w:type="spellStart"/>
      <w:r w:rsidRPr="001277EE">
        <w:rPr>
          <w:rFonts w:ascii="Times New Roman" w:hAnsi="Times New Roman" w:cs="Times New Roman"/>
          <w:sz w:val="20"/>
          <w:szCs w:val="20"/>
        </w:rPr>
        <w:t>myeon</w:t>
      </w:r>
      <w:proofErr w:type="spellEnd"/>
      <w:r w:rsidRPr="001277EE">
        <w:rPr>
          <w:rFonts w:ascii="Times New Roman" w:hAnsi="Times New Roman" w:cs="Times New Roman"/>
          <w:sz w:val="20"/>
          <w:szCs w:val="20"/>
        </w:rPr>
        <w:t>-</w:t>
      </w:r>
      <w:proofErr w:type="gramStart"/>
      <w:r w:rsidRPr="001277EE">
        <w:rPr>
          <w:rFonts w:ascii="Times New Roman" w:hAnsi="Times New Roman" w:cs="Times New Roman"/>
          <w:sz w:val="20"/>
          <w:szCs w:val="20"/>
        </w:rPr>
        <w:t>dong</w:t>
      </w:r>
      <w:proofErr w:type="gramEnd"/>
      <w:r w:rsidRPr="001277EE">
        <w:rPr>
          <w:rFonts w:ascii="Times New Roman" w:hAnsi="Times New Roman" w:cs="Times New Roman"/>
          <w:sz w:val="20"/>
          <w:szCs w:val="20"/>
        </w:rPr>
        <w:t xml:space="preserve"> areas would have faced shortages in the 6th election, compared with 43 of 3,496 in the 7th election and none in the 8th election. Under the 60% rule, 74 areas would still have faced shortages in the 6th election. During the same period, nationwide Election-Day turnout declined from 45.0% to 39.9% and then 30.1%. These results illustrate two problems with a uniform rule. First, even when national turnout is below 50%, some local areas exceed that level. Second, a ratio that is insufficient in one election may produce substantial overpreparation in another. Thus, ballot demand is geographically uneven and changes over time.</w:t>
      </w:r>
    </w:p>
    <w:p w14:paraId="387734E1" w14:textId="77777777" w:rsidR="001277EE" w:rsidRPr="001277EE" w:rsidRDefault="001277EE" w:rsidP="001277EE">
      <w:pPr>
        <w:spacing w:after="0" w:line="480" w:lineRule="auto"/>
        <w:jc w:val="both"/>
        <w:rPr>
          <w:rFonts w:ascii="Times New Roman" w:hAnsi="Times New Roman" w:cs="Times New Roman"/>
          <w:sz w:val="20"/>
          <w:szCs w:val="20"/>
        </w:rPr>
      </w:pPr>
    </w:p>
    <w:p w14:paraId="5AA8CA75" w14:textId="29E34E90" w:rsidR="001277EE" w:rsidRPr="001277EE" w:rsidRDefault="001277EE" w:rsidP="001277EE">
      <w:pPr>
        <w:spacing w:after="0" w:line="480" w:lineRule="auto"/>
        <w:jc w:val="both"/>
        <w:rPr>
          <w:rFonts w:ascii="Times New Roman" w:hAnsi="Times New Roman" w:cs="Times New Roman"/>
          <w:sz w:val="20"/>
          <w:szCs w:val="20"/>
        </w:rPr>
      </w:pPr>
      <w:r w:rsidRPr="001277EE">
        <w:rPr>
          <w:rFonts w:ascii="Times New Roman" w:hAnsi="Times New Roman" w:cs="Times New Roman"/>
          <w:sz w:val="20"/>
          <w:szCs w:val="20"/>
        </w:rPr>
        <w:t>As an extension of this analysis, we developed a simple statistical model rather than a machine-learning model. This approach is consistent with previous research showing that simple statistical models can provide reliable and interpretable forecasts.</w:t>
      </w:r>
      <w:r>
        <w:rPr>
          <w:rStyle w:val="FootnoteReference"/>
          <w:rFonts w:ascii="Times New Roman" w:hAnsi="Times New Roman" w:cs="Times New Roman"/>
          <w:sz w:val="20"/>
          <w:szCs w:val="20"/>
        </w:rPr>
        <w:footnoteReference w:id="3"/>
      </w:r>
      <w:r w:rsidRPr="001277EE">
        <w:rPr>
          <w:rFonts w:ascii="Times New Roman" w:hAnsi="Times New Roman" w:cs="Times New Roman"/>
          <w:sz w:val="20"/>
          <w:szCs w:val="20"/>
        </w:rPr>
        <w:t xml:space="preserve"> </w:t>
      </w:r>
      <w:proofErr w:type="gramStart"/>
      <w:r w:rsidRPr="001277EE">
        <w:rPr>
          <w:rFonts w:ascii="Times New Roman" w:hAnsi="Times New Roman" w:cs="Times New Roman"/>
          <w:sz w:val="20"/>
          <w:szCs w:val="20"/>
        </w:rPr>
        <w:t>For</w:t>
      </w:r>
      <w:proofErr w:type="gramEnd"/>
      <w:r w:rsidRPr="001277EE">
        <w:rPr>
          <w:rFonts w:ascii="Times New Roman" w:hAnsi="Times New Roman" w:cs="Times New Roman"/>
          <w:sz w:val="20"/>
          <w:szCs w:val="20"/>
        </w:rPr>
        <w:t xml:space="preserve"> the 8th-election </w:t>
      </w:r>
      <w:proofErr w:type="spellStart"/>
      <w:r w:rsidRPr="001277EE">
        <w:rPr>
          <w:rFonts w:ascii="Times New Roman" w:hAnsi="Times New Roman" w:cs="Times New Roman"/>
          <w:sz w:val="20"/>
          <w:szCs w:val="20"/>
        </w:rPr>
        <w:t>backtest</w:t>
      </w:r>
      <w:proofErr w:type="spellEnd"/>
      <w:r w:rsidRPr="001277EE">
        <w:rPr>
          <w:rFonts w:ascii="Times New Roman" w:hAnsi="Times New Roman" w:cs="Times New Roman"/>
          <w:sz w:val="20"/>
          <w:szCs w:val="20"/>
        </w:rPr>
        <w:t>, the model applied the average 6th-to-7th-election turnout change (−7.378 percentage points) to each region's previous turnout and added one-sided statistical safety margins. The 95%, 99%, and 99.9% safety levels indicate how conservatively ballots should be prepared rather than how accurate the model is.</w:t>
      </w:r>
    </w:p>
    <w:p w14:paraId="086436DF" w14:textId="77777777" w:rsidR="001277EE" w:rsidRPr="001277EE" w:rsidRDefault="001277EE" w:rsidP="001277EE">
      <w:pPr>
        <w:spacing w:after="0" w:line="480" w:lineRule="auto"/>
        <w:jc w:val="both"/>
        <w:rPr>
          <w:rFonts w:ascii="Times New Roman" w:hAnsi="Times New Roman" w:cs="Times New Roman"/>
          <w:sz w:val="20"/>
          <w:szCs w:val="20"/>
        </w:rPr>
      </w:pPr>
    </w:p>
    <w:p w14:paraId="186BDFB2" w14:textId="77777777" w:rsidR="001277EE" w:rsidRPr="001277EE" w:rsidRDefault="001277EE" w:rsidP="001277EE">
      <w:pPr>
        <w:spacing w:after="0" w:line="480" w:lineRule="auto"/>
        <w:jc w:val="both"/>
        <w:rPr>
          <w:rFonts w:ascii="Times New Roman" w:hAnsi="Times New Roman" w:cs="Times New Roman"/>
          <w:sz w:val="20"/>
          <w:szCs w:val="20"/>
        </w:rPr>
      </w:pPr>
      <w:r w:rsidRPr="001277EE">
        <w:rPr>
          <w:rFonts w:ascii="Times New Roman" w:hAnsi="Times New Roman" w:cs="Times New Roman"/>
          <w:sz w:val="20"/>
          <w:szCs w:val="20"/>
        </w:rPr>
        <w:t xml:space="preserve">The </w:t>
      </w:r>
      <w:proofErr w:type="spellStart"/>
      <w:r w:rsidRPr="001277EE">
        <w:rPr>
          <w:rFonts w:ascii="Times New Roman" w:hAnsi="Times New Roman" w:cs="Times New Roman"/>
          <w:sz w:val="20"/>
          <w:szCs w:val="20"/>
        </w:rPr>
        <w:t>backtest</w:t>
      </w:r>
      <w:proofErr w:type="spellEnd"/>
      <w:r w:rsidRPr="001277EE">
        <w:rPr>
          <w:rFonts w:ascii="Times New Roman" w:hAnsi="Times New Roman" w:cs="Times New Roman"/>
          <w:sz w:val="20"/>
          <w:szCs w:val="20"/>
        </w:rPr>
        <w:t xml:space="preserve"> demonstrates the trade-off between shortage prevention and surplus ballots. The base forecast produced shortages in 727 regions. This fell to 18, 7, and 1 region at </w:t>
      </w:r>
      <w:proofErr w:type="gramStart"/>
      <w:r w:rsidRPr="001277EE">
        <w:rPr>
          <w:rFonts w:ascii="Times New Roman" w:hAnsi="Times New Roman" w:cs="Times New Roman"/>
          <w:sz w:val="20"/>
          <w:szCs w:val="20"/>
        </w:rPr>
        <w:t>the 95</w:t>
      </w:r>
      <w:proofErr w:type="gramEnd"/>
      <w:r w:rsidRPr="001277EE">
        <w:rPr>
          <w:rFonts w:ascii="Times New Roman" w:hAnsi="Times New Roman" w:cs="Times New Roman"/>
          <w:sz w:val="20"/>
          <w:szCs w:val="20"/>
        </w:rPr>
        <w:t>%, 99%, and 99.9% safety levels, increasing regional coverage from 79.29% to 99.97%. Although higher safety levels increased surplus ballots, the 47.54% average preparation rate at the 99.9% level remained below a flat 50% policy because preparation rates varied by region. As a result, the model achieved nearly complete regional coverage while requiring approximately 1.1 million fewer ballots.</w:t>
      </w:r>
    </w:p>
    <w:p w14:paraId="301A567F" w14:textId="77777777" w:rsidR="001277EE" w:rsidRPr="001277EE" w:rsidRDefault="001277EE" w:rsidP="001277EE">
      <w:pPr>
        <w:spacing w:after="0" w:line="480" w:lineRule="auto"/>
        <w:jc w:val="both"/>
        <w:rPr>
          <w:rFonts w:ascii="Times New Roman" w:hAnsi="Times New Roman" w:cs="Times New Roman"/>
          <w:sz w:val="20"/>
          <w:szCs w:val="20"/>
        </w:rPr>
      </w:pPr>
    </w:p>
    <w:p w14:paraId="7D71666F" w14:textId="53798275" w:rsidR="001277EE" w:rsidRPr="001277EE" w:rsidRDefault="001277EE" w:rsidP="001277EE">
      <w:pPr>
        <w:spacing w:after="0" w:line="480" w:lineRule="auto"/>
        <w:jc w:val="both"/>
        <w:rPr>
          <w:rFonts w:ascii="Times New Roman" w:hAnsi="Times New Roman" w:cs="Times New Roman"/>
          <w:sz w:val="20"/>
          <w:szCs w:val="20"/>
        </w:rPr>
      </w:pPr>
      <w:r w:rsidRPr="001277EE">
        <w:rPr>
          <w:rFonts w:ascii="Times New Roman" w:hAnsi="Times New Roman" w:cs="Times New Roman"/>
          <w:sz w:val="20"/>
          <w:szCs w:val="20"/>
        </w:rPr>
        <w:t xml:space="preserve">Based on the </w:t>
      </w:r>
      <w:proofErr w:type="spellStart"/>
      <w:r w:rsidRPr="001277EE">
        <w:rPr>
          <w:rFonts w:ascii="Times New Roman" w:hAnsi="Times New Roman" w:cs="Times New Roman"/>
          <w:sz w:val="20"/>
          <w:szCs w:val="20"/>
        </w:rPr>
        <w:t>backtest</w:t>
      </w:r>
      <w:proofErr w:type="spellEnd"/>
      <w:r w:rsidRPr="001277EE">
        <w:rPr>
          <w:rFonts w:ascii="Times New Roman" w:hAnsi="Times New Roman" w:cs="Times New Roman"/>
          <w:sz w:val="20"/>
          <w:szCs w:val="20"/>
        </w:rPr>
        <w:t>, we applied the same approach to forecast the 9th local election. The model combined turnout changes from the 6th→7th elections (30%) and the 7th→8th elections (70%), giving greater weight to recent voting behavior.</w:t>
      </w:r>
      <w:r>
        <w:rPr>
          <w:rStyle w:val="FootnoteReference"/>
          <w:rFonts w:ascii="Times New Roman" w:hAnsi="Times New Roman" w:cs="Times New Roman"/>
          <w:sz w:val="20"/>
          <w:szCs w:val="20"/>
        </w:rPr>
        <w:footnoteReference w:id="4"/>
      </w:r>
      <w:r w:rsidRPr="001277EE">
        <w:rPr>
          <w:rFonts w:ascii="Times New Roman" w:hAnsi="Times New Roman" w:cs="Times New Roman"/>
          <w:sz w:val="20"/>
          <w:szCs w:val="20"/>
        </w:rPr>
        <w:t>The recommended preparation rate ranged from 21.15% under the base forecast to 28.93% at the 99.9% safety level. A Local-weighted model produced similar results, supporting the simpler National-weighted approach.</w:t>
      </w:r>
    </w:p>
    <w:p w14:paraId="106CD61A" w14:textId="77777777" w:rsidR="001277EE" w:rsidRPr="001277EE" w:rsidRDefault="001277EE" w:rsidP="001277EE">
      <w:pPr>
        <w:spacing w:after="0" w:line="480" w:lineRule="auto"/>
        <w:jc w:val="both"/>
        <w:rPr>
          <w:rFonts w:ascii="Times New Roman" w:hAnsi="Times New Roman" w:cs="Times New Roman"/>
          <w:sz w:val="20"/>
          <w:szCs w:val="20"/>
        </w:rPr>
      </w:pPr>
    </w:p>
    <w:p w14:paraId="62497487" w14:textId="5375E706" w:rsidR="004E2EC0" w:rsidRPr="001277EE" w:rsidRDefault="001277EE" w:rsidP="004E2EC0">
      <w:pPr>
        <w:spacing w:after="0" w:line="480" w:lineRule="auto"/>
        <w:jc w:val="both"/>
        <w:rPr>
          <w:rFonts w:ascii="Times New Roman" w:hAnsi="Times New Roman" w:cs="Times New Roman"/>
          <w:sz w:val="20"/>
          <w:szCs w:val="20"/>
        </w:rPr>
      </w:pPr>
      <w:r w:rsidRPr="001277EE">
        <w:rPr>
          <w:rFonts w:ascii="Times New Roman" w:hAnsi="Times New Roman" w:cs="Times New Roman"/>
          <w:sz w:val="20"/>
          <w:szCs w:val="20"/>
        </w:rPr>
        <w:t xml:space="preserve">This study has several limitations. Only one forward </w:t>
      </w:r>
      <w:proofErr w:type="spellStart"/>
      <w:r w:rsidRPr="001277EE">
        <w:rPr>
          <w:rFonts w:ascii="Times New Roman" w:hAnsi="Times New Roman" w:cs="Times New Roman"/>
          <w:sz w:val="20"/>
          <w:szCs w:val="20"/>
        </w:rPr>
        <w:t>backtest</w:t>
      </w:r>
      <w:proofErr w:type="spellEnd"/>
      <w:r w:rsidRPr="001277EE">
        <w:rPr>
          <w:rFonts w:ascii="Times New Roman" w:hAnsi="Times New Roman" w:cs="Times New Roman"/>
          <w:sz w:val="20"/>
          <w:szCs w:val="20"/>
        </w:rPr>
        <w:t xml:space="preserve"> was possible, the analysis was conducted at the </w:t>
      </w:r>
      <w:proofErr w:type="spellStart"/>
      <w:r w:rsidRPr="001277EE">
        <w:rPr>
          <w:rFonts w:ascii="Times New Roman" w:hAnsi="Times New Roman" w:cs="Times New Roman"/>
          <w:sz w:val="20"/>
          <w:szCs w:val="20"/>
        </w:rPr>
        <w:t>eup</w:t>
      </w:r>
      <w:proofErr w:type="spellEnd"/>
      <w:r w:rsidRPr="001277EE">
        <w:rPr>
          <w:rFonts w:ascii="Times New Roman" w:hAnsi="Times New Roman" w:cs="Times New Roman"/>
          <w:sz w:val="20"/>
          <w:szCs w:val="20"/>
        </w:rPr>
        <w:t>-</w:t>
      </w:r>
      <w:proofErr w:type="spellStart"/>
      <w:r w:rsidRPr="001277EE">
        <w:rPr>
          <w:rFonts w:ascii="Times New Roman" w:hAnsi="Times New Roman" w:cs="Times New Roman"/>
          <w:sz w:val="20"/>
          <w:szCs w:val="20"/>
        </w:rPr>
        <w:t>myeon</w:t>
      </w:r>
      <w:proofErr w:type="spellEnd"/>
      <w:r w:rsidRPr="001277EE">
        <w:rPr>
          <w:rFonts w:ascii="Times New Roman" w:hAnsi="Times New Roman" w:cs="Times New Roman"/>
          <w:sz w:val="20"/>
          <w:szCs w:val="20"/>
        </w:rPr>
        <w:t>-</w:t>
      </w:r>
      <w:proofErr w:type="gramStart"/>
      <w:r w:rsidRPr="001277EE">
        <w:rPr>
          <w:rFonts w:ascii="Times New Roman" w:hAnsi="Times New Roman" w:cs="Times New Roman"/>
          <w:sz w:val="20"/>
          <w:szCs w:val="20"/>
        </w:rPr>
        <w:t>dong</w:t>
      </w:r>
      <w:proofErr w:type="gramEnd"/>
      <w:r w:rsidRPr="001277EE">
        <w:rPr>
          <w:rFonts w:ascii="Times New Roman" w:hAnsi="Times New Roman" w:cs="Times New Roman"/>
          <w:sz w:val="20"/>
          <w:szCs w:val="20"/>
        </w:rPr>
        <w:t xml:space="preserve"> level rather than individual polling stations, and administrative boundary changes could not be fully traced. Despite these limitations, the project demonstrates that public election data can support regional ballot-shortage risk analysis, ballot-demand forecasting, and more flexible ballot preparation than a single nationwide preparation ratio.</w:t>
      </w:r>
    </w:p>
    <w:sectPr w:rsidR="004E2EC0" w:rsidRPr="001277E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C9A46" w14:textId="77777777" w:rsidR="003B7345" w:rsidRDefault="003B7345" w:rsidP="00084D82">
      <w:pPr>
        <w:spacing w:after="0" w:line="240" w:lineRule="auto"/>
      </w:pPr>
      <w:r>
        <w:separator/>
      </w:r>
    </w:p>
  </w:endnote>
  <w:endnote w:type="continuationSeparator" w:id="0">
    <w:p w14:paraId="613A9B0F" w14:textId="77777777" w:rsidR="003B7345" w:rsidRDefault="003B7345" w:rsidP="00084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89134" w14:textId="77777777" w:rsidR="003B7345" w:rsidRDefault="003B7345" w:rsidP="00084D82">
      <w:pPr>
        <w:spacing w:after="0" w:line="240" w:lineRule="auto"/>
      </w:pPr>
      <w:r>
        <w:separator/>
      </w:r>
    </w:p>
  </w:footnote>
  <w:footnote w:type="continuationSeparator" w:id="0">
    <w:p w14:paraId="65BD193A" w14:textId="77777777" w:rsidR="003B7345" w:rsidRDefault="003B7345" w:rsidP="00084D82">
      <w:pPr>
        <w:spacing w:after="0" w:line="240" w:lineRule="auto"/>
      </w:pPr>
      <w:r>
        <w:continuationSeparator/>
      </w:r>
    </w:p>
  </w:footnote>
  <w:footnote w:id="1">
    <w:p w14:paraId="152B3B5C" w14:textId="47E06D1E" w:rsidR="001277EE" w:rsidRDefault="001277EE">
      <w:pPr>
        <w:pStyle w:val="FootnoteText"/>
        <w:rPr>
          <w:rFonts w:hint="eastAsia"/>
        </w:rPr>
      </w:pPr>
      <w:r>
        <w:rPr>
          <w:rStyle w:val="FootnoteReference"/>
        </w:rPr>
        <w:footnoteRef/>
      </w:r>
      <w:r>
        <w:t xml:space="preserve"> </w:t>
      </w:r>
      <w:r w:rsidRPr="001277EE">
        <w:t xml:space="preserve">National Election Commission (Republic of Korea). </w:t>
      </w:r>
      <w:r w:rsidRPr="001277EE">
        <w:rPr>
          <w:i/>
          <w:iCs/>
        </w:rPr>
        <w:t>Election Statistics System</w:t>
      </w:r>
      <w:r w:rsidRPr="001277EE">
        <w:t xml:space="preserve">. </w:t>
      </w:r>
      <w:hyperlink r:id="rId1" w:tgtFrame="_new" w:history="1">
        <w:r w:rsidRPr="001277EE">
          <w:rPr>
            <w:rStyle w:val="Hyperlink"/>
          </w:rPr>
          <w:t>https://info.nec.go.kr</w:t>
        </w:r>
      </w:hyperlink>
    </w:p>
  </w:footnote>
  <w:footnote w:id="2">
    <w:p w14:paraId="31A91C4C" w14:textId="27A3AC69" w:rsidR="001277EE" w:rsidRDefault="001277EE">
      <w:pPr>
        <w:pStyle w:val="FootnoteText"/>
        <w:rPr>
          <w:rFonts w:hint="eastAsia"/>
        </w:rPr>
      </w:pPr>
      <w:r>
        <w:rPr>
          <w:rStyle w:val="FootnoteReference"/>
        </w:rPr>
        <w:footnoteRef/>
      </w:r>
      <w:r>
        <w:t xml:space="preserve"> </w:t>
      </w:r>
      <w:r w:rsidRPr="001277EE">
        <w:t xml:space="preserve">National Election Commission (Republic of Korea). </w:t>
      </w:r>
      <w:r w:rsidRPr="001277EE">
        <w:rPr>
          <w:i/>
          <w:iCs/>
        </w:rPr>
        <w:t>Official Election Results and Registered Voter Data</w:t>
      </w:r>
      <w:r w:rsidRPr="001277EE">
        <w:t xml:space="preserve">. </w:t>
      </w:r>
      <w:hyperlink r:id="rId2" w:tgtFrame="_new" w:history="1">
        <w:r w:rsidRPr="001277EE">
          <w:rPr>
            <w:rStyle w:val="Hyperlink"/>
          </w:rPr>
          <w:t>https://www.nec.go.kr</w:t>
        </w:r>
      </w:hyperlink>
    </w:p>
  </w:footnote>
  <w:footnote w:id="3">
    <w:p w14:paraId="1049B5FE" w14:textId="73825FFA" w:rsidR="001277EE" w:rsidRDefault="001277EE">
      <w:pPr>
        <w:pStyle w:val="FootnoteText"/>
        <w:rPr>
          <w:rFonts w:hint="eastAsia"/>
        </w:rPr>
      </w:pPr>
      <w:r>
        <w:rPr>
          <w:rStyle w:val="FootnoteReference"/>
        </w:rPr>
        <w:footnoteRef/>
      </w:r>
      <w:r>
        <w:t xml:space="preserve"> </w:t>
      </w:r>
      <w:r w:rsidRPr="001277EE">
        <w:t xml:space="preserve">Ansolabehere, S., Brown, J., Khanna, K., Phillips, C., &amp; Stewart, C. III. (2024). </w:t>
      </w:r>
      <w:r w:rsidRPr="001277EE">
        <w:rPr>
          <w:i/>
          <w:iCs/>
        </w:rPr>
        <w:t>Forecasting Turnout</w:t>
      </w:r>
      <w:r w:rsidRPr="001277EE">
        <w:t xml:space="preserve">. </w:t>
      </w:r>
      <w:r w:rsidRPr="001277EE">
        <w:rPr>
          <w:i/>
          <w:iCs/>
        </w:rPr>
        <w:t>Harvard Data Science Review</w:t>
      </w:r>
      <w:r w:rsidRPr="001277EE">
        <w:t xml:space="preserve">, 6(4). </w:t>
      </w:r>
      <w:hyperlink r:id="rId3" w:tgtFrame="_new" w:history="1">
        <w:r w:rsidRPr="001277EE">
          <w:rPr>
            <w:rStyle w:val="Hyperlink"/>
          </w:rPr>
          <w:t>https://doi.org/10.1162/99608f92.62881547</w:t>
        </w:r>
      </w:hyperlink>
    </w:p>
  </w:footnote>
  <w:footnote w:id="4">
    <w:p w14:paraId="28B495A8" w14:textId="77777777" w:rsidR="001277EE" w:rsidRPr="001277EE" w:rsidRDefault="001277EE" w:rsidP="001277EE">
      <w:pPr>
        <w:pStyle w:val="FootnoteText"/>
      </w:pPr>
      <w:r>
        <w:rPr>
          <w:rStyle w:val="FootnoteReference"/>
        </w:rPr>
        <w:footnoteRef/>
      </w:r>
      <w:r>
        <w:t xml:space="preserve"> </w:t>
      </w:r>
      <w:r w:rsidRPr="001277EE">
        <w:t xml:space="preserve">Hyndman, R. J., &amp; Athanasopoulos, G. (2021). </w:t>
      </w:r>
      <w:r w:rsidRPr="001277EE">
        <w:rPr>
          <w:i/>
          <w:iCs/>
        </w:rPr>
        <w:t>Forecasting: Principles and Practice</w:t>
      </w:r>
      <w:r w:rsidRPr="001277EE">
        <w:t xml:space="preserve"> (3rd ed.). </w:t>
      </w:r>
      <w:proofErr w:type="spellStart"/>
      <w:r w:rsidRPr="001277EE">
        <w:t>OTexts</w:t>
      </w:r>
      <w:proofErr w:type="spellEnd"/>
      <w:r w:rsidRPr="001277EE">
        <w:t xml:space="preserve">. </w:t>
      </w:r>
      <w:hyperlink r:id="rId4" w:tgtFrame="_new" w:history="1">
        <w:r w:rsidRPr="001277EE">
          <w:rPr>
            <w:rStyle w:val="Hyperlink"/>
          </w:rPr>
          <w:t>https://otexts.com/fpp3/</w:t>
        </w:r>
      </w:hyperlink>
      <w:r w:rsidRPr="001277EE">
        <w:t xml:space="preserve"> </w:t>
      </w:r>
    </w:p>
    <w:p w14:paraId="778EB1EB" w14:textId="32DE05DB" w:rsidR="001277EE" w:rsidRDefault="001277EE">
      <w:pPr>
        <w:pStyle w:val="FootnoteText"/>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7299B"/>
    <w:multiLevelType w:val="multilevel"/>
    <w:tmpl w:val="D0DE7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5C0D49"/>
    <w:multiLevelType w:val="multilevel"/>
    <w:tmpl w:val="AE686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1652130">
    <w:abstractNumId w:val="0"/>
  </w:num>
  <w:num w:numId="2" w16cid:durableId="1516773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82"/>
    <w:rsid w:val="00075154"/>
    <w:rsid w:val="00084D82"/>
    <w:rsid w:val="001277EE"/>
    <w:rsid w:val="00324938"/>
    <w:rsid w:val="003B7345"/>
    <w:rsid w:val="004E2EC0"/>
    <w:rsid w:val="00C625C4"/>
    <w:rsid w:val="00D253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65987"/>
  <w15:chartTrackingRefBased/>
  <w15:docId w15:val="{92156821-FFF2-4AA0-810B-594665180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D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D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D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D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D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D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D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D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D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D82"/>
    <w:rPr>
      <w:rFonts w:eastAsiaTheme="majorEastAsia" w:cstheme="majorBidi"/>
      <w:color w:val="272727" w:themeColor="text1" w:themeTint="D8"/>
    </w:rPr>
  </w:style>
  <w:style w:type="paragraph" w:styleId="Title">
    <w:name w:val="Title"/>
    <w:basedOn w:val="Normal"/>
    <w:next w:val="Normal"/>
    <w:link w:val="TitleChar"/>
    <w:uiPriority w:val="10"/>
    <w:qFormat/>
    <w:rsid w:val="00084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D82"/>
    <w:pPr>
      <w:spacing w:before="160"/>
      <w:jc w:val="center"/>
    </w:pPr>
    <w:rPr>
      <w:i/>
      <w:iCs/>
      <w:color w:val="404040" w:themeColor="text1" w:themeTint="BF"/>
    </w:rPr>
  </w:style>
  <w:style w:type="character" w:customStyle="1" w:styleId="QuoteChar">
    <w:name w:val="Quote Char"/>
    <w:basedOn w:val="DefaultParagraphFont"/>
    <w:link w:val="Quote"/>
    <w:uiPriority w:val="29"/>
    <w:rsid w:val="00084D82"/>
    <w:rPr>
      <w:i/>
      <w:iCs/>
      <w:color w:val="404040" w:themeColor="text1" w:themeTint="BF"/>
    </w:rPr>
  </w:style>
  <w:style w:type="paragraph" w:styleId="ListParagraph">
    <w:name w:val="List Paragraph"/>
    <w:basedOn w:val="Normal"/>
    <w:uiPriority w:val="34"/>
    <w:qFormat/>
    <w:rsid w:val="00084D82"/>
    <w:pPr>
      <w:ind w:left="720"/>
      <w:contextualSpacing/>
    </w:pPr>
  </w:style>
  <w:style w:type="character" w:styleId="IntenseEmphasis">
    <w:name w:val="Intense Emphasis"/>
    <w:basedOn w:val="DefaultParagraphFont"/>
    <w:uiPriority w:val="21"/>
    <w:qFormat/>
    <w:rsid w:val="00084D82"/>
    <w:rPr>
      <w:i/>
      <w:iCs/>
      <w:color w:val="2F5496" w:themeColor="accent1" w:themeShade="BF"/>
    </w:rPr>
  </w:style>
  <w:style w:type="paragraph" w:styleId="IntenseQuote">
    <w:name w:val="Intense Quote"/>
    <w:basedOn w:val="Normal"/>
    <w:next w:val="Normal"/>
    <w:link w:val="IntenseQuoteChar"/>
    <w:uiPriority w:val="30"/>
    <w:qFormat/>
    <w:rsid w:val="00084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D82"/>
    <w:rPr>
      <w:i/>
      <w:iCs/>
      <w:color w:val="2F5496" w:themeColor="accent1" w:themeShade="BF"/>
    </w:rPr>
  </w:style>
  <w:style w:type="character" w:styleId="IntenseReference">
    <w:name w:val="Intense Reference"/>
    <w:basedOn w:val="DefaultParagraphFont"/>
    <w:uiPriority w:val="32"/>
    <w:qFormat/>
    <w:rsid w:val="00084D82"/>
    <w:rPr>
      <w:b/>
      <w:bCs/>
      <w:smallCaps/>
      <w:color w:val="2F5496" w:themeColor="accent1" w:themeShade="BF"/>
      <w:spacing w:val="5"/>
    </w:rPr>
  </w:style>
  <w:style w:type="paragraph" w:styleId="FootnoteText">
    <w:name w:val="footnote text"/>
    <w:basedOn w:val="Normal"/>
    <w:link w:val="FootnoteTextChar"/>
    <w:uiPriority w:val="99"/>
    <w:semiHidden/>
    <w:unhideWhenUsed/>
    <w:rsid w:val="00084D8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4D82"/>
    <w:rPr>
      <w:sz w:val="20"/>
      <w:szCs w:val="20"/>
    </w:rPr>
  </w:style>
  <w:style w:type="character" w:styleId="FootnoteReference">
    <w:name w:val="footnote reference"/>
    <w:basedOn w:val="DefaultParagraphFont"/>
    <w:uiPriority w:val="99"/>
    <w:semiHidden/>
    <w:unhideWhenUsed/>
    <w:rsid w:val="00084D82"/>
    <w:rPr>
      <w:vertAlign w:val="superscript"/>
    </w:rPr>
  </w:style>
  <w:style w:type="character" w:styleId="Hyperlink">
    <w:name w:val="Hyperlink"/>
    <w:basedOn w:val="DefaultParagraphFont"/>
    <w:uiPriority w:val="99"/>
    <w:unhideWhenUsed/>
    <w:rsid w:val="00084D82"/>
    <w:rPr>
      <w:color w:val="0563C1" w:themeColor="hyperlink"/>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character" w:styleId="FollowedHyperlink">
    <w:name w:val="FollowedHyperlink"/>
    <w:basedOn w:val="DefaultParagraphFont"/>
    <w:uiPriority w:val="99"/>
    <w:semiHidden/>
    <w:unhideWhenUsed/>
    <w:rsid w:val="00084D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kdis.ac.kr/user/view.php?id=17059&amp;course=6611" TargetMode="External"/><Relationship Id="rId3" Type="http://schemas.openxmlformats.org/officeDocument/2006/relationships/settings" Target="settings.xml"/><Relationship Id="rId7" Type="http://schemas.openxmlformats.org/officeDocument/2006/relationships/hyperlink" Target="https://www.ekdis.ac.kr/user/view.php?id=17185&amp;course=661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ekdis.ac.kr/user/view.php?id=17191&amp;course=6611" TargetMode="External"/><Relationship Id="rId4" Type="http://schemas.openxmlformats.org/officeDocument/2006/relationships/webSettings" Target="webSettings.xml"/><Relationship Id="rId9" Type="http://schemas.openxmlformats.org/officeDocument/2006/relationships/hyperlink" Target="https://www.ekdis.ac.kr/user/view.php?id=17196&amp;course=6611"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doi.org/10.1162/99608f92.62881547" TargetMode="External"/><Relationship Id="rId2" Type="http://schemas.openxmlformats.org/officeDocument/2006/relationships/hyperlink" Target="https://www.nec.go.kr" TargetMode="External"/><Relationship Id="rId1" Type="http://schemas.openxmlformats.org/officeDocument/2006/relationships/hyperlink" Target="https://info.nec.go.kr" TargetMode="External"/><Relationship Id="rId4" Type="http://schemas.openxmlformats.org/officeDocument/2006/relationships/hyperlink" Target="https://otexts.com/fp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서라운 대리</dc:creator>
  <cp:keywords/>
  <dc:description/>
  <cp:lastModifiedBy>서라운 대리</cp:lastModifiedBy>
  <cp:revision>2</cp:revision>
  <dcterms:created xsi:type="dcterms:W3CDTF">2026-08-04T09:12:00Z</dcterms:created>
  <dcterms:modified xsi:type="dcterms:W3CDTF">2026-08-04T09:12:00Z</dcterms:modified>
</cp:coreProperties>
</file>