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자산관리 - DB</w:t>
      </w:r>
    </w:p>
    <w:p>
      <w:pPr>
        <w:pStyle w:val="Heading1"/>
      </w:pPr>
      <w:r>
        <w:t>리전별 비중</w:t>
      </w:r>
    </w:p>
    <w:p>
      <w:pPr>
        <w:pStyle w:val="IntenseQuote"/>
      </w:pPr>
      <w:r>
        <w:t>KR</w:t>
      </w:r>
    </w:p>
    <w:p>
      <w:pPr>
        <w:pStyle w:val="ListBullet"/>
      </w:pPr>
      <w:r>
        <w:t>KR-2 서비스 오픈</w:t>
      </w:r>
    </w:p>
    <w:p>
      <w:pPr>
        <w:pStyle w:val="ListNumber"/>
      </w:pPr>
      <w:r>
        <w:t>SG 서비스 오픈</w:t>
      </w:r>
    </w:p>
    <w:p>
      <w:r>
        <w:drawing>
          <wp:inline xmlns:a="http://schemas.openxmlformats.org/drawingml/2006/main" xmlns:pic="http://schemas.openxmlformats.org/drawingml/2006/picture">
            <wp:extent cx="5207000" cy="520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20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213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537200" cy="311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11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213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149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22900" cy="3340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4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22900" cy="317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22900" cy="3289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22900" cy="3263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26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22900" cy="3390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