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280"/>
        <w:jc w:val="center"/>
      </w:pPr>
      <w:r>
        <w:rPr>
          <w:b/>
          <w:color w:val="A46B12"/>
          <w:sz w:val="20"/>
        </w:rPr>
        <w:t>FIELD GUIDE</w:t>
      </w:r>
    </w:p>
    <w:p>
      <w:pPr>
        <w:spacing w:after="160"/>
        <w:jc w:val="center"/>
      </w:pPr>
      <w:r>
        <w:rPr>
          <w:b/>
          <w:color w:val="243746"/>
          <w:sz w:val="54"/>
        </w:rPr>
        <w:t>地方韌性跨域共創發表會</w:t>
      </w:r>
    </w:p>
    <w:p>
      <w:pPr>
        <w:spacing w:after="520"/>
        <w:jc w:val="center"/>
      </w:pPr>
      <w:r>
        <w:rPr>
          <w:color w:val="1F4D78"/>
          <w:sz w:val="30"/>
        </w:rPr>
        <w:t>世界咖啡館參與與政策對話行前參考指南</w:t>
      </w:r>
    </w:p>
    <w:tbl>
      <w:tblPr>
        <w:tblW w:type="auto" w:w="0"/>
        <w:jc w:val="center"/>
        <w:tblLayout w:type="fixed"/>
        <w:tblLook w:firstColumn="1" w:firstRow="1" w:lastColumn="0" w:lastRow="0" w:noHBand="0" w:noVBand="1" w:val="04A0"/>
      </w:tblPr>
      <w:tblGrid>
        <w:gridCol w:w="4680"/>
        <w:gridCol w:w="4680"/>
      </w:tblGrid>
      <w:tr>
        <w:trPr>
          <w:tblHeader/>
        </w:trPr>
        <w:tc>
          <w:tcPr>
            <w:tcW w:type="dxa" w:w="4680"/>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日期／時間</w:t>
            </w:r>
          </w:p>
        </w:tc>
        <w:tc>
          <w:tcPr>
            <w:tcW w:type="dxa" w:w="4680"/>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地點</w:t>
            </w:r>
          </w:p>
        </w:tc>
      </w:tr>
      <w:tr>
        <w:tc>
          <w:tcPr>
            <w:tcW w:type="dxa" w:w="468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2026年7月15日（三）</w:t>
              <w:br/>
              <w:t>13:30–16:30（13:00報到）</w:t>
            </w:r>
          </w:p>
        </w:tc>
        <w:tc>
          <w:tcPr>
            <w:tcW w:type="dxa" w:w="468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兆基文教大樓8樓教室</w:t>
              <w:br/>
              <w:t>臺北市松山區南京東路四段120巷11號</w:t>
            </w:r>
          </w:p>
        </w:tc>
      </w:tr>
    </w:tbl>
    <w:p>
      <w:pPr>
        <w:spacing w:after="400"/>
      </w:pPr>
    </w:p>
    <w:p>
      <w:pPr>
        <w:pStyle w:val="GuideCallout"/>
        <w:shd w:fill="F4F6F9"/>
        <w:pBdr>
          <w:top w:val="single" w:sz="4" w:color="D9E1EA"/>
          <w:left w:val="single" w:sz="4" w:color="D9E1EA"/>
          <w:bottom w:val="single" w:sz="4" w:color="D9E1EA"/>
          <w:right w:val="single" w:sz="4" w:color="D9E1EA"/>
        </w:pBdr>
      </w:pPr>
      <w:r>
        <w:rPr>
          <w:b/>
          <w:color w:val="1F4D78"/>
        </w:rPr>
        <w:t>核心任務｜</w:t>
      </w:r>
      <w:r>
        <w:t>理解主辦方的地方韌性框架，帶入政府委辦與地方輔導現場經驗，協助把地方需求轉譯成可被跨部會共同承接的政策路徑。</w:t>
      </w:r>
    </w:p>
    <w:p>
      <w:pPr>
        <w:jc w:val="center"/>
      </w:pPr>
      <w:r>
        <w:rPr>
          <w:b/>
          <w:color w:val="2E74B5"/>
          <w:sz w:val="22"/>
        </w:rPr>
        <w:t>準備重點：一個案例｜三個斷點｜三項建議｜兩個問題</w:t>
      </w:r>
    </w:p>
    <w:p>
      <w:r>
        <w:br w:type="page"/>
      </w:r>
    </w:p>
    <w:p>
      <w:pPr>
        <w:pStyle w:val="Heading1"/>
      </w:pPr>
      <w:r>
        <w:t>一、快速判讀：這場會議真正要做什麼</w:t>
      </w:r>
    </w:p>
    <w:p>
      <w:pPr>
        <w:pStyle w:val="GuideCallout"/>
        <w:shd w:fill="F4F6F9"/>
        <w:pBdr>
          <w:top w:val="single" w:sz="4" w:color="D9E1EA"/>
          <w:left w:val="single" w:sz="4" w:color="D9E1EA"/>
          <w:bottom w:val="single" w:sz="4" w:color="D9E1EA"/>
          <w:right w:val="single" w:sz="4" w:color="D9E1EA"/>
        </w:pBdr>
      </w:pPr>
      <w:r>
        <w:rPr>
          <w:b/>
          <w:color w:val="1F4D78"/>
        </w:rPr>
        <w:t>一句話結論｜</w:t>
      </w:r>
      <w:r>
        <w:t>這不是一般成果發表會，而是研究成果驗證、成效指標蒐集、政策報告轉譯檢討，以及跨部會資源問題盤點的邀請制工作會議。</w:t>
      </w:r>
    </w:p>
    <w:p>
      <w:pPr>
        <w:pStyle w:val="Heading2"/>
      </w:pPr>
      <w:r>
        <w:t>從報名表看到的四個訊號</w:t>
      </w:r>
    </w:p>
    <w:p>
      <w:pPr>
        <w:pStyle w:val="ListBullet"/>
      </w:pPr>
      <w:r>
        <w:t>主辦方正在尋找比活動場次、參與人次與短期產值更合適的地方創生成效指標。</w:t>
      </w:r>
    </w:p>
    <w:p>
      <w:pPr>
        <w:pStyle w:val="ListBullet"/>
      </w:pPr>
      <w:r>
        <w:t>主辦方關心地方需求如何被轉寫成政策報告，以及執行效益如何被合理敘述。</w:t>
      </w:r>
    </w:p>
    <w:p>
      <w:pPr>
        <w:pStyle w:val="ListBullet"/>
      </w:pPr>
      <w:r>
        <w:t>世界咖啡館可能依資源整合、法規鬆綁、基礎設施、產業與人才等問題分桌。</w:t>
      </w:r>
    </w:p>
    <w:p>
      <w:pPr>
        <w:pStyle w:val="ListBullet"/>
      </w:pPr>
      <w:r>
        <w:t>與會角色集中於中央部會、部會PO、國發會、台經院、分區輔導中心及地方團隊，屬政策執行網絡內部校準。</w:t>
      </w:r>
    </w:p>
    <w:p>
      <w:pPr>
        <w:pStyle w:val="Heading2"/>
      </w:pPr>
      <w:r>
        <w:t>主辦方可能期待的成果</w:t>
      </w:r>
    </w:p>
    <w:p>
      <w:pPr>
        <w:pStyle w:val="ListBullet"/>
      </w:pPr>
      <w:r>
        <w:t>確認地方韌性六大面向與工具箱是否能被實務工作者使用。</w:t>
      </w:r>
    </w:p>
    <w:p>
      <w:pPr>
        <w:pStyle w:val="ListBullet"/>
      </w:pPr>
      <w:r>
        <w:t>建立結果指標、過程指標與韌性驗證的候選指標庫。</w:t>
      </w:r>
    </w:p>
    <w:p>
      <w:pPr>
        <w:pStyle w:val="ListBullet"/>
      </w:pPr>
      <w:r>
        <w:t>辨識現行部會資源、法規、期程與核銷制度的斷點。</w:t>
      </w:r>
    </w:p>
    <w:p>
      <w:pPr>
        <w:pStyle w:val="ListBullet"/>
      </w:pPr>
      <w:r>
        <w:t>形成可寫入研究報告或政策建議的跨部會對接方案。</w:t>
      </w:r>
    </w:p>
    <w:p>
      <w:pPr>
        <w:pStyle w:val="Heading1"/>
      </w:pPr>
      <w:r>
        <w:t>二、地方韌性框架速查</w:t>
      </w:r>
    </w:p>
    <w:p>
      <w:pPr>
        <w:pStyle w:val="GuideCallout"/>
        <w:shd w:fill="F4F6F9"/>
        <w:pBdr>
          <w:top w:val="single" w:sz="4" w:color="D9E1EA"/>
          <w:left w:val="single" w:sz="4" w:color="D9E1EA"/>
          <w:bottom w:val="single" w:sz="4" w:color="D9E1EA"/>
          <w:right w:val="single" w:sz="4" w:color="D9E1EA"/>
        </w:pBdr>
      </w:pPr>
      <w:r>
        <w:rPr>
          <w:b/>
          <w:color w:val="1F4D78"/>
        </w:rPr>
        <w:t>官方研議定義｜</w:t>
      </w:r>
      <w:r>
        <w:t>地方面對天災、經濟波動、人口外移、產業衰退等衝擊或長期壓力時，能夠抵抗、吸收、適應並轉型的綜合能力。</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512"/>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能力</w:t>
            </w:r>
          </w:p>
        </w:tc>
        <w:tc>
          <w:tcPr>
            <w:tcW w:type="dxa" w:w="3888"/>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現場理解</w:t>
            </w:r>
          </w:p>
        </w:tc>
        <w:tc>
          <w:tcPr>
            <w:tcW w:type="dxa" w:w="3960"/>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可追問的證據</w:t>
            </w:r>
          </w:p>
        </w:tc>
      </w:tr>
      <w:tr>
        <w:tc>
          <w:tcPr>
            <w:tcW w:type="dxa" w:w="151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抵抗力</w:t>
            </w:r>
          </w:p>
        </w:tc>
        <w:tc>
          <w:tcPr>
            <w:tcW w:type="dxa" w:w="388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第一波衝擊來時能否守住基本功能</w:t>
            </w:r>
          </w:p>
        </w:tc>
        <w:tc>
          <w:tcPr>
            <w:tcW w:type="dxa" w:w="39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有無備援、人力與資源是否過度集中</w:t>
            </w:r>
          </w:p>
        </w:tc>
      </w:tr>
      <w:tr>
        <w:tc>
          <w:tcPr>
            <w:tcW w:type="dxa" w:w="151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吸收力</w:t>
            </w:r>
          </w:p>
        </w:tc>
        <w:tc>
          <w:tcPr>
            <w:tcW w:type="dxa" w:w="388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受創後能否維持或快速恢復</w:t>
            </w:r>
          </w:p>
        </w:tc>
        <w:tc>
          <w:tcPr>
            <w:tcW w:type="dxa" w:w="39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關鍵服務中斷多久、誰能提供支援</w:t>
            </w:r>
          </w:p>
        </w:tc>
      </w:tr>
      <w:tr>
        <w:tc>
          <w:tcPr>
            <w:tcW w:type="dxa" w:w="151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適應力</w:t>
            </w:r>
          </w:p>
        </w:tc>
        <w:tc>
          <w:tcPr>
            <w:tcW w:type="dxa" w:w="388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條件改變時能否調整運作方式</w:t>
            </w:r>
          </w:p>
        </w:tc>
        <w:tc>
          <w:tcPr>
            <w:tcW w:type="dxa" w:w="39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是否能改變產品、通路、服務或合作方式</w:t>
            </w:r>
          </w:p>
        </w:tc>
      </w:tr>
      <w:tr>
        <w:tc>
          <w:tcPr>
            <w:tcW w:type="dxa" w:w="151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轉型力</w:t>
            </w:r>
          </w:p>
        </w:tc>
        <w:tc>
          <w:tcPr>
            <w:tcW w:type="dxa" w:w="388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能否由危機長出新結構</w:t>
            </w:r>
          </w:p>
        </w:tc>
        <w:tc>
          <w:tcPr>
            <w:tcW w:type="dxa" w:w="39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是否形成新產業、新治理或新生活模式</w:t>
            </w:r>
          </w:p>
        </w:tc>
      </w:tr>
    </w:tbl>
    <w:p>
      <w:pPr>
        <w:pStyle w:val="Heading2"/>
      </w:pPr>
      <w:r>
        <w:t>六大評估面向</w:t>
      </w:r>
    </w:p>
    <w:tbl>
      <w:tblPr>
        <w:tblW w:type="auto" w:w="0"/>
        <w:jc w:val="center"/>
        <w:tblLayout w:type="fixed"/>
        <w:tblLook w:firstColumn="1" w:firstRow="1" w:lastColumn="0" w:lastRow="0" w:noHBand="0" w:noVBand="1" w:val="04A0"/>
      </w:tblPr>
      <w:tblGrid>
        <w:gridCol w:w="4680"/>
        <w:gridCol w:w="4680"/>
      </w:tblGrid>
      <w:tr>
        <w:trPr>
          <w:tblHeader/>
        </w:trPr>
        <w:tc>
          <w:tcPr>
            <w:tcW w:type="dxa" w:w="1800"/>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面向</w:t>
            </w:r>
          </w:p>
        </w:tc>
        <w:tc>
          <w:tcPr>
            <w:tcW w:type="dxa" w:w="7560"/>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核心問題</w:t>
            </w:r>
          </w:p>
        </w:tc>
      </w:tr>
      <w:tr>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經濟</w:t>
            </w:r>
          </w:p>
        </w:tc>
        <w:tc>
          <w:tcPr>
            <w:tcW w:type="dxa" w:w="75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地方靠什麼維生？收入與產業是否多元？</w:t>
            </w:r>
          </w:p>
        </w:tc>
      </w:tr>
      <w:tr>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社會</w:t>
            </w:r>
          </w:p>
        </w:tc>
        <w:tc>
          <w:tcPr>
            <w:tcW w:type="dxa" w:w="75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居民是否互相認識、信任並能動員？</w:t>
            </w:r>
          </w:p>
        </w:tc>
      </w:tr>
      <w:tr>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人才培育</w:t>
            </w:r>
          </w:p>
        </w:tc>
        <w:tc>
          <w:tcPr>
            <w:tcW w:type="dxa" w:w="75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年輕人與關鍵工作者是否留得下來、有人接班？</w:t>
            </w:r>
          </w:p>
        </w:tc>
      </w:tr>
      <w:tr>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集體認同</w:t>
            </w:r>
          </w:p>
        </w:tc>
        <w:tc>
          <w:tcPr>
            <w:tcW w:type="dxa" w:w="75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居民是否以地方為榮，願意共同承擔公共事務？</w:t>
            </w:r>
          </w:p>
        </w:tc>
      </w:tr>
      <w:tr>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自然環境</w:t>
            </w:r>
          </w:p>
        </w:tc>
        <w:tc>
          <w:tcPr>
            <w:tcW w:type="dxa" w:w="75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地方行動是否超過生態與環境承載力？</w:t>
            </w:r>
          </w:p>
        </w:tc>
      </w:tr>
      <w:tr>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基礎建設</w:t>
            </w:r>
          </w:p>
        </w:tc>
        <w:tc>
          <w:tcPr>
            <w:tcW w:type="dxa" w:w="756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交通、醫療、防災及公共設施能否支持生活？</w:t>
            </w:r>
          </w:p>
        </w:tc>
      </w:tr>
    </w:tbl>
    <w:p>
      <w:r>
        <w:br w:type="page"/>
      </w:r>
    </w:p>
    <w:p>
      <w:pPr>
        <w:pStyle w:val="Heading1"/>
      </w:pPr>
      <w:r>
        <w:t>三、你在現場最有價值的角色</w:t>
      </w:r>
    </w:p>
    <w:p>
      <w:pPr>
        <w:pStyle w:val="GuideCallout"/>
        <w:shd w:fill="F4F6F9"/>
        <w:pBdr>
          <w:top w:val="single" w:sz="4" w:color="D9E1EA"/>
          <w:left w:val="single" w:sz="4" w:color="D9E1EA"/>
          <w:bottom w:val="single" w:sz="4" w:color="D9E1EA"/>
          <w:right w:val="single" w:sz="4" w:color="D9E1EA"/>
        </w:pBdr>
      </w:pPr>
      <w:r>
        <w:rPr>
          <w:b/>
          <w:color w:val="1F4D78"/>
        </w:rPr>
        <w:t>建議定位｜</w:t>
      </w:r>
      <w:r>
        <w:t>地方需求與政府制度之間的轉譯者：理解地方完整生活系統，也熟悉政府委辦、計畫管理、交付要求與跨部會資源限制。</w:t>
      </w:r>
    </w:p>
    <w:p>
      <w:pPr>
        <w:pStyle w:val="Heading2"/>
      </w:pPr>
      <w:r>
        <w:t>建議帶入的三個主張</w:t>
      </w:r>
    </w:p>
    <w:p>
      <w:pPr>
        <w:spacing w:after="60"/>
      </w:pPr>
      <w:r>
        <w:rPr>
          <w:b/>
          <w:color w:val="1F4D78"/>
        </w:rPr>
        <w:t>不要把韌性變成新的補助包裝詞</w:t>
      </w:r>
    </w:p>
    <w:p>
      <w:pPr>
        <w:ind w:left="288"/>
      </w:pPr>
      <w:r>
        <w:t>韌性應反映收入來源、接班人、替代通路、支援網絡與危機時維持運作的能力，而不是只在計畫名稱加上『韌性』。</w:t>
      </w:r>
    </w:p>
    <w:p>
      <w:pPr>
        <w:spacing w:after="60"/>
      </w:pPr>
      <w:r>
        <w:rPr>
          <w:b/>
          <w:color w:val="1F4D78"/>
        </w:rPr>
        <w:t>資源對接不只是補助清單媒合</w:t>
      </w:r>
    </w:p>
    <w:p>
      <w:pPr>
        <w:ind w:left="288"/>
      </w:pPr>
      <w:r>
        <w:t>應以一個地方韌性目標組合多個部會工具，設定整合窗口、共同里程碑、共同佐證與退場機制。</w:t>
      </w:r>
    </w:p>
    <w:p>
      <w:pPr>
        <w:spacing w:after="60"/>
      </w:pPr>
      <w:r>
        <w:rPr>
          <w:b/>
          <w:color w:val="1F4D78"/>
        </w:rPr>
        <w:t>需要地方轉譯者與資源架構師</w:t>
      </w:r>
    </w:p>
    <w:p>
      <w:pPr>
        <w:ind w:left="288"/>
      </w:pPr>
      <w:r>
        <w:t>分區輔導中心或地方輔導團不應只協助寫計畫，也應協助風險盤點、資源組合、跨部會溝通與成果學習。</w:t>
      </w:r>
    </w:p>
    <w:p>
      <w:pPr>
        <w:pStyle w:val="Heading2"/>
      </w:pPr>
      <w:r>
        <w:t>可使用的實務案例：公有空間活化</w:t>
      </w:r>
    </w:p>
    <w:tbl>
      <w:tblPr>
        <w:tblW w:type="auto" w:w="0"/>
        <w:jc w:val="center"/>
        <w:tblLayout w:type="fixed"/>
        <w:tblLook w:firstColumn="1" w:firstRow="1" w:lastColumn="0" w:lastRow="0" w:noHBand="0" w:noVBand="1" w:val="04A0"/>
      </w:tblPr>
      <w:tblGrid>
        <w:gridCol w:w="4680"/>
        <w:gridCol w:w="4680"/>
      </w:tblGrid>
      <w:tr>
        <w:trPr>
          <w:tblHeader/>
        </w:trPr>
        <w:tc>
          <w:tcPr>
            <w:tcW w:type="dxa" w:w="3384"/>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地方問題</w:t>
            </w:r>
          </w:p>
        </w:tc>
        <w:tc>
          <w:tcPr>
            <w:tcW w:type="dxa" w:w="5976"/>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可能涉及的政策系統</w:t>
            </w:r>
          </w:p>
        </w:tc>
      </w:tr>
      <w:tr>
        <w:tc>
          <w:tcPr>
            <w:tcW w:type="dxa" w:w="3384"/>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空間修繕與合法使用</w:t>
            </w:r>
          </w:p>
        </w:tc>
        <w:tc>
          <w:tcPr>
            <w:tcW w:type="dxa" w:w="597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內政、地方建設、建管、消防</w:t>
            </w:r>
          </w:p>
        </w:tc>
      </w:tr>
      <w:tr>
        <w:tc>
          <w:tcPr>
            <w:tcW w:type="dxa" w:w="3384"/>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青年進駐與營運</w:t>
            </w:r>
          </w:p>
        </w:tc>
        <w:tc>
          <w:tcPr>
            <w:tcW w:type="dxa" w:w="597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青年、經濟、勞動與創業資源</w:t>
            </w:r>
          </w:p>
        </w:tc>
      </w:tr>
      <w:tr>
        <w:tc>
          <w:tcPr>
            <w:tcW w:type="dxa" w:w="3384"/>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社區照顧與公共服務</w:t>
            </w:r>
          </w:p>
        </w:tc>
        <w:tc>
          <w:tcPr>
            <w:tcW w:type="dxa" w:w="597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衛福、社區發展與地方政府</w:t>
            </w:r>
          </w:p>
        </w:tc>
      </w:tr>
      <w:tr>
        <w:tc>
          <w:tcPr>
            <w:tcW w:type="dxa" w:w="3384"/>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文化、遊程與地方內容</w:t>
            </w:r>
          </w:p>
        </w:tc>
        <w:tc>
          <w:tcPr>
            <w:tcW w:type="dxa" w:w="597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文化、觀光、農業與教育</w:t>
            </w:r>
          </w:p>
        </w:tc>
      </w:tr>
      <w:tr>
        <w:tc>
          <w:tcPr>
            <w:tcW w:type="dxa" w:w="3384"/>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環境、能源與韌性</w:t>
            </w:r>
          </w:p>
        </w:tc>
        <w:tc>
          <w:tcPr>
            <w:tcW w:type="dxa" w:w="597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環境、農業、淨零與防災</w:t>
            </w:r>
          </w:p>
        </w:tc>
      </w:tr>
    </w:tbl>
    <w:p>
      <w:pPr>
        <w:pStyle w:val="GuideCallout"/>
        <w:shd w:fill="F4F6F9"/>
        <w:pBdr>
          <w:top w:val="single" w:sz="4" w:color="D9E1EA"/>
          <w:left w:val="single" w:sz="4" w:color="D9E1EA"/>
          <w:bottom w:val="single" w:sz="4" w:color="D9E1EA"/>
          <w:right w:val="single" w:sz="4" w:color="D9E1EA"/>
        </w:pBdr>
      </w:pPr>
      <w:r>
        <w:rPr>
          <w:b/>
          <w:color w:val="1F4D78"/>
        </w:rPr>
        <w:t>案例結論｜</w:t>
      </w:r>
      <w:r>
        <w:t>地方真正面對的是完整生活系統，但政府資源依部會分割。工具箱的價值，應是把完整問題轉譯成可組合的政策工具，而不是要求地方自己適應政府組織分工。</w:t>
      </w:r>
    </w:p>
    <w:p>
      <w:pPr>
        <w:pStyle w:val="Heading1"/>
      </w:pPr>
      <w:r>
        <w:t>四、世界咖啡館怎麼參與</w:t>
      </w:r>
    </w:p>
    <w:p>
      <w:pPr>
        <w:pStyle w:val="ListNumber"/>
      </w:pPr>
      <w:r>
        <w:t>每桌約4至8人，圍繞一個核心問題進行短時間討論。</w:t>
      </w:r>
    </w:p>
    <w:p>
      <w:pPr>
        <w:pStyle w:val="ListNumber"/>
      </w:pPr>
      <w:r>
        <w:t>桌長通常留守並整理前一輪內容，其他人換桌延續討論。</w:t>
      </w:r>
    </w:p>
    <w:p>
      <w:pPr>
        <w:pStyle w:val="ListNumber"/>
      </w:pPr>
      <w:r>
        <w:t>最後由各桌提出共同觀察、主要分歧與具體建議。</w:t>
      </w:r>
    </w:p>
    <w:p>
      <w:pPr>
        <w:pStyle w:val="Heading2"/>
      </w:pPr>
      <w:r>
        <w:t>最有效的發言結構</w:t>
      </w:r>
    </w:p>
    <w:p>
      <w:pPr>
        <w:pStyle w:val="GuideCallout"/>
        <w:shd w:fill="F4F6F9"/>
        <w:pBdr>
          <w:top w:val="single" w:sz="4" w:color="D9E1EA"/>
          <w:left w:val="single" w:sz="4" w:color="D9E1EA"/>
          <w:bottom w:val="single" w:sz="4" w:color="D9E1EA"/>
          <w:right w:val="single" w:sz="4" w:color="D9E1EA"/>
        </w:pBdr>
      </w:pPr>
      <w:r>
        <w:rPr>
          <w:b/>
          <w:color w:val="1F4D78"/>
        </w:rPr>
        <w:t>發言公式｜</w:t>
      </w:r>
      <w:r>
        <w:t>一個實際情況 → 一個制度問題 → 一項具體建議。每次控制在一至兩分鐘，讓桌長容易記錄並納入成果。</w:t>
      </w:r>
    </w:p>
    <w:p>
      <w:pPr>
        <w:pStyle w:val="GuideCallout"/>
        <w:shd w:fill="F4F6F9"/>
        <w:pBdr>
          <w:top w:val="single" w:sz="4" w:color="D9E1EA"/>
          <w:left w:val="single" w:sz="4" w:color="D9E1EA"/>
          <w:bottom w:val="single" w:sz="4" w:color="D9E1EA"/>
          <w:right w:val="single" w:sz="4" w:color="D9E1EA"/>
        </w:pBdr>
      </w:pPr>
      <w:r>
        <w:rPr>
          <w:b/>
          <w:color w:val="1F4D78"/>
        </w:rPr>
        <w:t>示範｜</w:t>
      </w:r>
      <w:r>
        <w:t>我們在公有空間活化時，修繕、進駐、人才與營運分屬不同政策。地方必須把同一目標拆成數份計畫，期程與KPI也無法銜接。建議工具箱增加跨部會資源組合表，並明定整合窗口。</w:t>
      </w:r>
    </w:p>
    <w:p>
      <w:r>
        <w:br w:type="page"/>
      </w:r>
    </w:p>
    <w:p>
      <w:pPr>
        <w:pStyle w:val="Heading1"/>
      </w:pPr>
      <w:r>
        <w:t>五、報名表建議填答稿</w:t>
      </w:r>
    </w:p>
    <w:p>
      <w:pPr>
        <w:pStyle w:val="Heading2"/>
      </w:pPr>
      <w:r>
        <w:t>1. 最合適的地方創生政策效益指標</w:t>
      </w:r>
    </w:p>
    <w:p>
      <w:r>
        <w:t>建議依地方原始條件及主要風險設定基準線，衡量地方行動前後的變化，包括地方收入來源多元程度、在地就業與人才留任時間、青年及核心工作者接班情形、地方組織間持續合作關係、居民參與地方公共事務的頻率、關鍵生活服務可及性、地方據點持續營運能力，以及遭遇市場、人口或災害衝擊後維持運作與恢復的時間。除結果指標外，也應納入關係建立、組織學習及跨域協作等過程指標。</w:t>
      </w:r>
    </w:p>
    <w:p>
      <w:pPr>
        <w:pStyle w:val="Heading2"/>
      </w:pPr>
      <w:r>
        <w:t>2. 最不合適的地方創生政策效益指標</w:t>
      </w:r>
    </w:p>
    <w:p>
      <w:r>
        <w:t>不宜單獨使用活動場次、一次性參與人次、媒體曝光量、補助經費執行率、短期營業額、單年度新增工作數及短期人口增減作為主要判斷。這些數字容易受到地方規模、區位與資源差異影響，也可能鼓勵團隊追求容易量化的活動，而忽略組織能力、社會關係與長期營運。</w:t>
      </w:r>
    </w:p>
    <w:p>
      <w:pPr>
        <w:pStyle w:val="Heading2"/>
      </w:pPr>
      <w:r>
        <w:t>3. 建議勾選項目</w:t>
      </w:r>
    </w:p>
    <w:tbl>
      <w:tblPr>
        <w:tblW w:type="auto" w:w="0"/>
        <w:jc w:val="center"/>
        <w:tblLayout w:type="fixed"/>
        <w:tblLook w:firstColumn="1" w:firstRow="1" w:lastColumn="0" w:lastRow="0" w:noHBand="0" w:noVBand="1" w:val="04A0"/>
      </w:tblPr>
      <w:tblGrid>
        <w:gridCol w:w="4680"/>
        <w:gridCol w:w="4680"/>
      </w:tblGrid>
      <w:tr>
        <w:trPr>
          <w:tblHeader/>
        </w:trPr>
        <w:tc>
          <w:tcPr>
            <w:tcW w:type="dxa" w:w="2952"/>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表單題目</w:t>
            </w:r>
          </w:p>
        </w:tc>
        <w:tc>
          <w:tcPr>
            <w:tcW w:type="dxa" w:w="6408"/>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建議選擇</w:t>
            </w:r>
          </w:p>
        </w:tc>
      </w:tr>
      <w:tr>
        <w:tc>
          <w:tcPr>
            <w:tcW w:type="dxa" w:w="295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最怕的報告環節</w:t>
            </w:r>
          </w:p>
        </w:tc>
        <w:tc>
          <w:tcPr>
            <w:tcW w:type="dxa" w:w="640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整體政策／地方團隊執行效益；地方議題與需求盤點</w:t>
            </w:r>
          </w:p>
        </w:tc>
      </w:tr>
      <w:tr>
        <w:tc>
          <w:tcPr>
            <w:tcW w:type="dxa" w:w="295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地方創生的政策屬性</w:t>
            </w:r>
          </w:p>
        </w:tc>
        <w:tc>
          <w:tcPr>
            <w:tcW w:type="dxa" w:w="640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人口、國土、產業發展、社區營造；視需要加文化政策</w:t>
            </w:r>
          </w:p>
        </w:tc>
      </w:tr>
      <w:tr>
        <w:tc>
          <w:tcPr>
            <w:tcW w:type="dxa" w:w="295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最需跨部會協調</w:t>
            </w:r>
          </w:p>
        </w:tc>
        <w:tc>
          <w:tcPr>
            <w:tcW w:type="dxa" w:w="640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資源與補助整合、法規鬆綁、產業發展與人才留育；公有空間案例可加基礎設施</w:t>
            </w:r>
          </w:p>
        </w:tc>
      </w:tr>
      <w:tr>
        <w:tc>
          <w:tcPr>
            <w:tcW w:type="dxa" w:w="295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單位屬性</w:t>
            </w:r>
          </w:p>
        </w:tc>
        <w:tc>
          <w:tcPr>
            <w:tcW w:type="dxa" w:w="6408"/>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若非代表分區輔導中心出席，以『地方創生團隊』最接近</w:t>
            </w:r>
          </w:p>
        </w:tc>
      </w:tr>
    </w:tbl>
    <w:p>
      <w:pPr>
        <w:pStyle w:val="Heading2"/>
      </w:pPr>
      <w:r>
        <w:t>4. 最大挑戰或痛點</w:t>
      </w:r>
    </w:p>
    <w:p>
      <w:r>
        <w:t>地方實際面對的是人口、產業、空間、社福、文化與環境相互連動的完整問題，但中央資源依部會權責、年度預算與補助科目切割。地方團隊必須將同一發展目標拆成多份計畫，承受不同期程、資格、KPI、核銷及成果格式，卻缺少跨部會整合窗口與長期營運經費。建議由輔導體系協助建立共同問題診斷、資源組合路徑、共同里程碑與成果指標。</w:t>
      </w:r>
    </w:p>
    <w:p>
      <w:pPr>
        <w:pStyle w:val="Heading2"/>
      </w:pPr>
      <w:r>
        <w:t>5. 希望深度交流的部會</w:t>
      </w:r>
    </w:p>
    <w:p>
      <w:pPr>
        <w:pStyle w:val="GuideCallout"/>
        <w:shd w:fill="F4F6F9"/>
        <w:pBdr>
          <w:top w:val="single" w:sz="4" w:color="D9E1EA"/>
          <w:left w:val="single" w:sz="4" w:color="D9E1EA"/>
          <w:bottom w:val="single" w:sz="4" w:color="D9E1EA"/>
          <w:right w:val="single" w:sz="4" w:color="D9E1EA"/>
        </w:pBdr>
      </w:pPr>
      <w:r>
        <w:rPr>
          <w:b/>
          <w:color w:val="1F4D78"/>
        </w:rPr>
        <w:t>首選｜</w:t>
      </w:r>
      <w:r>
        <w:t>內政部國土、城鄉發展及公有空間活化相關業務。希望討論地方創生據點在土地使用、建管消防、空間修繕、營運管理與長期維護之間，如何建立跨計畫銜接機制。</w:t>
      </w:r>
    </w:p>
    <w:p>
      <w:pPr>
        <w:pStyle w:val="GuideCallout"/>
        <w:shd w:fill="F4F6F9"/>
        <w:pBdr>
          <w:top w:val="single" w:sz="4" w:color="D9E1EA"/>
          <w:left w:val="single" w:sz="4" w:color="D9E1EA"/>
          <w:bottom w:val="single" w:sz="4" w:color="D9E1EA"/>
          <w:right w:val="single" w:sz="4" w:color="D9E1EA"/>
        </w:pBdr>
      </w:pPr>
      <w:r>
        <w:rPr>
          <w:b/>
          <w:color w:val="1F4D78"/>
        </w:rPr>
        <w:t>第二選擇｜</w:t>
      </w:r>
      <w:r>
        <w:t>勞動部多元就業與培力就業業務，討論補助型人力如何轉化為地方長期人才與組織能力。</w:t>
      </w:r>
    </w:p>
    <w:p>
      <w:r>
        <w:br w:type="page"/>
      </w:r>
    </w:p>
    <w:p>
      <w:pPr>
        <w:pStyle w:val="Heading1"/>
      </w:pPr>
      <w:r>
        <w:t>六、可直接使用的現場發言</w:t>
      </w:r>
    </w:p>
    <w:p>
      <w:pPr>
        <w:pStyle w:val="Heading2"/>
      </w:pPr>
      <w:r>
        <w:t>60秒自我介紹</w:t>
      </w:r>
    </w:p>
    <w:p>
      <w:pPr>
        <w:pStyle w:val="GuideCallout"/>
        <w:shd w:fill="F4F6F9"/>
        <w:pBdr>
          <w:top w:val="single" w:sz="4" w:color="D9E1EA"/>
          <w:left w:val="single" w:sz="4" w:color="D9E1EA"/>
          <w:bottom w:val="single" w:sz="4" w:color="D9E1EA"/>
          <w:right w:val="single" w:sz="4" w:color="D9E1EA"/>
        </w:pBdr>
      </w:pPr>
      <w:r>
        <w:rPr>
          <w:b/>
          <w:color w:val="1F4D78"/>
        </w:rPr>
        <w:t>口語稿｜</w:t>
      </w:r>
      <w:r>
        <w:t>我長期參與政府委辦計畫、地方創生輔導、公有空間活化及地方團隊陪伴。我的觀察是，地方通常不缺創意，也不一定缺補助資訊，真正欠缺的是把地方完整需求轉譯成跨部會可以共同承接的行動架構。對我而言，地方韌性不只是災後恢復，而是當補助、人員、市場或環境條件改變時，地方仍有能力維持運作、調整方法並形成下一條路。我今天特別想討論的是，這套工具箱如何協助地方組合資源，而不是再增加一套申請表格。</w:t>
      </w:r>
    </w:p>
    <w:p>
      <w:pPr>
        <w:pStyle w:val="Heading2"/>
      </w:pPr>
      <w:r>
        <w:t>一句關鍵主張</w:t>
      </w:r>
    </w:p>
    <w:p>
      <w:pPr>
        <w:pStyle w:val="GuideCallout"/>
        <w:shd w:fill="F4F6F9"/>
        <w:pBdr>
          <w:top w:val="single" w:sz="4" w:color="D9E1EA"/>
          <w:left w:val="single" w:sz="4" w:color="D9E1EA"/>
          <w:bottom w:val="single" w:sz="4" w:color="D9E1EA"/>
          <w:right w:val="single" w:sz="4" w:color="D9E1EA"/>
        </w:pBdr>
      </w:pPr>
      <w:r>
        <w:rPr>
          <w:b/>
          <w:color w:val="1F4D78"/>
        </w:rPr>
        <w:t>建議發言｜</w:t>
      </w:r>
      <w:r>
        <w:t>地方韌性工具箱不能只協助地方證明自己有問題，也必須協助中央看見：這個問題需要哪些部會共同承接、誰負責整合，以及補助結束後由什麼機制維持。</w:t>
      </w:r>
    </w:p>
    <w:p>
      <w:pPr>
        <w:pStyle w:val="Heading2"/>
      </w:pPr>
      <w:r>
        <w:t>六個可主動提出的問題</w:t>
      </w:r>
    </w:p>
    <w:p>
      <w:pPr>
        <w:pStyle w:val="ListNumber"/>
      </w:pPr>
      <w:r>
        <w:t>工具箱主要使用者是地方團隊、地方政府、輔導中心，還是中央部會？不同使用者需要的工具是否應分版？</w:t>
      </w:r>
    </w:p>
    <w:p>
      <w:pPr>
        <w:pStyle w:val="ListNumber"/>
      </w:pPr>
      <w:r>
        <w:t>工具箱會不會提供跨部會資源的組合邏輯，而不只是資源清單？</w:t>
      </w:r>
    </w:p>
    <w:p>
      <w:pPr>
        <w:pStyle w:val="ListNumber"/>
      </w:pPr>
      <w:r>
        <w:t>除了產值與人次，是否納入組織接班、收入多元性、合作網絡、基本服務與恢復時間？</w:t>
      </w:r>
    </w:p>
    <w:p>
      <w:pPr>
        <w:pStyle w:val="ListNumber"/>
      </w:pPr>
      <w:r>
        <w:t>如果盤點出真正需求，但目前沒有補助科目可以承接，是否有回饋政策調整的機制？</w:t>
      </w:r>
    </w:p>
    <w:p>
      <w:pPr>
        <w:pStyle w:val="ListNumber"/>
      </w:pPr>
      <w:r>
        <w:t>跨部會計畫能否建立共同成果指標與佐證格式，降低地方重複行政？</w:t>
      </w:r>
    </w:p>
    <w:p>
      <w:pPr>
        <w:pStyle w:val="ListNumber"/>
      </w:pPr>
      <w:r>
        <w:t>韌性需要長期累積，但補助通常一至三年，後續營運與維護成本由誰承接？</w:t>
      </w:r>
    </w:p>
    <w:p>
      <w:pPr>
        <w:pStyle w:val="Heading2"/>
      </w:pPr>
      <w:r>
        <w:t>建議工具：政策資源鑲嵌表</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232"/>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地方壓力</w:t>
            </w:r>
          </w:p>
        </w:tc>
        <w:tc>
          <w:tcPr>
            <w:tcW w:type="dxa" w:w="1800"/>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韌性能力</w:t>
            </w:r>
          </w:p>
        </w:tc>
        <w:tc>
          <w:tcPr>
            <w:tcW w:type="dxa" w:w="2592"/>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地方行動</w:t>
            </w:r>
          </w:p>
        </w:tc>
        <w:tc>
          <w:tcPr>
            <w:tcW w:type="dxa" w:w="2736"/>
            <w:vAlign w:val="center"/>
            <w:shd w:fill="E8EEF5"/>
            <w:tcMar>
              <w:top w:w="80" w:type="dxa"/>
              <w:bottom w:w="80" w:type="dxa"/>
              <w:start w:w="120" w:type="dxa"/>
              <w:end w:w="120" w:type="dxa"/>
            </w:tcMar>
          </w:tcPr>
          <w:p>
            <w:pPr>
              <w:spacing w:after="0" w:line="276" w:lineRule="auto"/>
              <w:jc w:val="center"/>
            </w:pPr>
            <w:r/>
            <w:r>
              <w:rPr>
                <w:rFonts w:ascii="STHeiti" w:hAnsi="STHeiti" w:eastAsia="STHeiti"/>
                <w:b/>
                <w:color w:val="1F4D78"/>
                <w:sz w:val="19"/>
              </w:rPr>
              <w:t>政策對接</w:t>
            </w:r>
          </w:p>
        </w:tc>
      </w:tr>
      <w:tr>
        <w:tc>
          <w:tcPr>
            <w:tcW w:type="dxa" w:w="223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人口外移／缺工</w:t>
            </w:r>
          </w:p>
        </w:tc>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適應、轉型</w:t>
            </w:r>
          </w:p>
        </w:tc>
        <w:tc>
          <w:tcPr>
            <w:tcW w:type="dxa" w:w="259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人才培育、接班與多元工作</w:t>
            </w:r>
          </w:p>
        </w:tc>
        <w:tc>
          <w:tcPr>
            <w:tcW w:type="dxa" w:w="273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勞動、青年、教育、經濟</w:t>
            </w:r>
          </w:p>
        </w:tc>
      </w:tr>
      <w:tr>
        <w:tc>
          <w:tcPr>
            <w:tcW w:type="dxa" w:w="223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據點難以維持</w:t>
            </w:r>
          </w:p>
        </w:tc>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抵抗、吸收</w:t>
            </w:r>
          </w:p>
        </w:tc>
        <w:tc>
          <w:tcPr>
            <w:tcW w:type="dxa" w:w="259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空間合法化與營運收入</w:t>
            </w:r>
          </w:p>
        </w:tc>
        <w:tc>
          <w:tcPr>
            <w:tcW w:type="dxa" w:w="273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內政、地方政府、經濟</w:t>
            </w:r>
          </w:p>
        </w:tc>
      </w:tr>
      <w:tr>
        <w:tc>
          <w:tcPr>
            <w:tcW w:type="dxa" w:w="223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產業單一</w:t>
            </w:r>
          </w:p>
        </w:tc>
        <w:tc>
          <w:tcPr>
            <w:tcW w:type="dxa" w:w="1800"/>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抵抗、轉型</w:t>
            </w:r>
          </w:p>
        </w:tc>
        <w:tc>
          <w:tcPr>
            <w:tcW w:type="dxa" w:w="2592"/>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多元通路與跨域合作</w:t>
            </w:r>
          </w:p>
        </w:tc>
        <w:tc>
          <w:tcPr>
            <w:tcW w:type="dxa" w:w="2736"/>
            <w:vAlign w:val="center"/>
            <w:tcMar>
              <w:top w:w="80" w:type="dxa"/>
              <w:bottom w:w="80" w:type="dxa"/>
              <w:start w:w="120" w:type="dxa"/>
              <w:end w:w="120" w:type="dxa"/>
            </w:tcMar>
          </w:tcPr>
          <w:p>
            <w:pPr>
              <w:spacing w:after="0" w:line="276" w:lineRule="auto"/>
            </w:pPr>
            <w:r/>
            <w:r>
              <w:rPr>
                <w:rFonts w:ascii="STHeiti" w:hAnsi="STHeiti" w:eastAsia="STHeiti"/>
                <w:b w:val="0"/>
                <w:color w:val="222222"/>
                <w:sz w:val="19"/>
              </w:rPr>
              <w:t>經濟、農業、觀光、文化</w:t>
            </w:r>
          </w:p>
        </w:tc>
      </w:tr>
    </w:tbl>
    <w:p>
      <w:pPr>
        <w:pStyle w:val="Heading1"/>
      </w:pPr>
      <w:r>
        <w:t>七、行前與當日檢查表</w:t>
      </w:r>
    </w:p>
    <w:p>
      <w:pPr>
        <w:pStyle w:val="ListBullet"/>
      </w:pPr>
      <w:r>
        <w:t>☐ 完成線上報名，確認單位屬性與希望交流的部會。</w:t>
      </w:r>
    </w:p>
    <w:p>
      <w:pPr>
        <w:pStyle w:val="ListBullet"/>
      </w:pPr>
      <w:r>
        <w:t>☐ 讀完《地方韌性工具箱》與微笑台灣地方韌性專欄。</w:t>
      </w:r>
    </w:p>
    <w:p>
      <w:pPr>
        <w:pStyle w:val="ListBullet"/>
      </w:pPr>
      <w:r>
        <w:t>☐ 準備一個成功案例及一個跨部會卡關案例。</w:t>
      </w:r>
    </w:p>
    <w:p>
      <w:pPr>
        <w:pStyle w:val="ListBullet"/>
      </w:pPr>
      <w:r>
        <w:t>☐ 選定三項制度建議與最想問的兩個問題。</w:t>
      </w:r>
    </w:p>
    <w:p>
      <w:pPr>
        <w:pStyle w:val="ListBullet"/>
      </w:pPr>
      <w:r>
        <w:t>☐ 複習60秒自我介紹，避免現場長篇說明背景。</w:t>
      </w:r>
    </w:p>
    <w:p>
      <w:pPr>
        <w:pStyle w:val="ListBullet"/>
      </w:pPr>
      <w:r>
        <w:t>☐ 攜帶名片、手機／平板、充電設備及本參考指南。</w:t>
      </w:r>
    </w:p>
    <w:p>
      <w:pPr>
        <w:pStyle w:val="ListBullet"/>
      </w:pPr>
      <w:r>
        <w:t>☐ 13:00至13:15抵達兆基文教大樓8樓；注意不是國發會辦公大樓。</w:t>
      </w:r>
    </w:p>
    <w:p>
      <w:pPr>
        <w:pStyle w:val="ListBullet"/>
      </w:pPr>
      <w:r>
        <w:t>☐ 記下重要與會者、可合作對象、政策關鍵詞與後續聯繫事項。</w:t>
      </w:r>
    </w:p>
    <w:p>
      <w:pPr>
        <w:pStyle w:val="Heading1"/>
      </w:pPr>
      <w:r>
        <w:t>八、建議會前向謝昇佑確認</w:t>
      </w:r>
    </w:p>
    <w:p>
      <w:pPr>
        <w:pStyle w:val="GuideCallout"/>
        <w:shd w:fill="F4F6F9"/>
        <w:pBdr>
          <w:top w:val="single" w:sz="4" w:color="D9E1EA"/>
          <w:left w:val="single" w:sz="4" w:color="D9E1EA"/>
          <w:bottom w:val="single" w:sz="4" w:color="D9E1EA"/>
          <w:right w:val="single" w:sz="4" w:color="D9E1EA"/>
        </w:pBdr>
      </w:pPr>
      <w:r>
        <w:rPr>
          <w:b/>
          <w:color w:val="1F4D78"/>
        </w:rPr>
        <w:t>可直接傳訊｜</w:t>
      </w:r>
      <w:r>
        <w:t>這次最希望我從『地方執行現場、政府委辦管理、成效指標或跨部會整合』哪一個角度提供回饋？如果世界咖啡館已有預定桌次，也請告訴我，我可以事先準備更具體的案例。</w:t>
      </w:r>
    </w:p>
    <w:p>
      <w:pPr>
        <w:pStyle w:val="Heading1"/>
      </w:pPr>
      <w:r>
        <w:t>九、資料來源</w:t>
      </w:r>
    </w:p>
    <w:p>
      <w:pPr>
        <w:pStyle w:val="ListBullet"/>
      </w:pPr>
      <w:r>
        <w:t>活動報名表：114年度《地方創生實踐行動價值研析與深化》計畫｜共創發表會｜報名表。</w:t>
      </w:r>
    </w:p>
    <w:p>
      <w:pPr>
        <w:pStyle w:val="ListBullet"/>
      </w:pPr>
      <w:r>
        <w:t>國發會地方創生政策：打造永續共好地方創生計畫（114–117年）。https://www.ndc.gov.tw/nc_16183_40004</w:t>
      </w:r>
    </w:p>
    <w:p>
      <w:pPr>
        <w:pStyle w:val="ListBullet"/>
      </w:pPr>
      <w:r>
        <w:t>國發會地方創生政策緣起。https://www.twrr.ndc.gov.tw/policyOrigin</w:t>
      </w:r>
    </w:p>
    <w:p>
      <w:pPr>
        <w:pStyle w:val="ListBullet"/>
      </w:pPr>
      <w:r>
        <w:t>《地方韌性是什麼？為什麼它決定了你家鄉的未來？從六大面向打開自我檢視工具箱》。</w:t>
      </w:r>
    </w:p>
    <w:p>
      <w:pPr>
        <w:pStyle w:val="ListBullet"/>
      </w:pPr>
      <w:r>
        <w:t>《地方韌性工具箱》，國發會《地方創生實踐行動價值研析與深化》地方創生×地方韌性研議小組。</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2026.07.15｜個人行前準備文件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7"/>
      </w:rPr>
      <w:t>地方韌性跨域共創發表會｜行前參考指南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THeiti" w:hAnsi="STHeiti" w:eastAsia="STHeit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STHeiti" w:hAnsi="STHeiti" w:eastAsia="STHeit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STHeiti" w:hAnsi="STHeiti" w:eastAsia="STHeit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THeiti" w:hAnsi="STHeiti" w:eastAsia="STHeit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STHeiti" w:hAnsi="STHeiti" w:eastAsia="STHeit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STHeiti" w:hAnsi="STHeiti" w:eastAsia="STHeit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llout">
    <w:name w:val="Guide Callout"/>
    <w:pPr>
      <w:spacing w:before="120" w:after="160" w:line="300" w:lineRule="auto"/>
      <w:ind w:left="259" w:right="259"/>
    </w:pPr>
    <w:rPr>
      <w:rFonts w:ascii="STHeiti" w:hAnsi="STHeiti" w:eastAsia="STHeiti"/>
      <w:color w:val="2437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地方韌性跨域共創發表會行前參考指南</dc:title>
  <dc:subject>2026年7月15日世界咖啡館與政策對話準備</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