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20"/>
        <w:jc w:val="center"/>
      </w:pPr>
      <w:r>
        <w:rPr>
          <w:rFonts w:ascii="STHeiti" w:hAnsi="STHeiti" w:eastAsia="STHeiti"/>
          <w:b/>
          <w:color w:val="A46B12"/>
          <w:sz w:val="20"/>
        </w:rPr>
        <w:t>MEETING BRIEF</w:t>
      </w:r>
    </w:p>
    <w:p>
      <w:pPr>
        <w:spacing w:after="140"/>
        <w:jc w:val="center"/>
      </w:pPr>
      <w:r>
        <w:rPr>
          <w:rFonts w:ascii="STHeiti" w:hAnsi="STHeiti" w:eastAsia="STHeiti"/>
          <w:b/>
          <w:color w:val="243746"/>
          <w:sz w:val="54"/>
        </w:rPr>
        <w:t>地方韌性跨域共創發表會</w:t>
      </w:r>
    </w:p>
    <w:p>
      <w:pPr>
        <w:spacing w:after="440"/>
        <w:jc w:val="center"/>
      </w:pPr>
      <w:r>
        <w:rPr>
          <w:rFonts w:ascii="STHeiti" w:hAnsi="STHeiti" w:eastAsia="STHeiti"/>
          <w:b w:val="0"/>
          <w:color w:val="1F4D78"/>
          <w:sz w:val="32"/>
        </w:rPr>
        <w:t>世界咖啡館會議準備文本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1F4D78"/>
                <w:sz w:val="18"/>
              </w:rPr>
              <w:t>日期／時間</w:t>
            </w:r>
          </w:p>
        </w:tc>
        <w:tc>
          <w:tcPr>
            <w:tcW w:type="dxa" w:w="468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1F4D78"/>
                <w:sz w:val="18"/>
              </w:rPr>
              <w:t>地點</w:t>
            </w:r>
          </w:p>
        </w:tc>
      </w:tr>
      <w:tr>
        <w:tc>
          <w:tcPr>
            <w:tcW w:type="dxa" w:w="468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222222"/>
                <w:sz w:val="18"/>
              </w:rPr>
              <w:t>7月15日（三）</w:t>
              <w:br/>
              <w:t>13:30–16:30（13:00報到）</w:t>
            </w:r>
          </w:p>
        </w:tc>
        <w:tc>
          <w:tcPr>
            <w:tcW w:type="dxa" w:w="468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STHeiti" w:hAnsi="STHeiti" w:eastAsia="STHeiti"/>
                <w:b w:val="0"/>
                <w:color w:val="222222"/>
                <w:sz w:val="18"/>
              </w:rPr>
              <w:t>兆基文教大樓8樓教室</w:t>
              <w:br/>
              <w:t>臺北市南京東路四段120巷11號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0" w:line="288" w:lineRule="auto"/>
            </w:pPr>
            <w:r/>
            <w:r>
              <w:rPr>
                <w:rFonts w:ascii="STHeiti" w:hAnsi="STHeiti" w:eastAsia="STHeiti"/>
                <w:b/>
                <w:color w:val="1F4D78"/>
                <w:sz w:val="22"/>
              </w:rPr>
              <w:t>核心任務｜</w:t>
            </w:r>
            <w:r>
              <w:rPr>
                <w:rFonts w:ascii="STHeiti" w:hAnsi="STHeiti" w:eastAsia="STHeiti"/>
                <w:b w:val="0"/>
                <w:color w:val="222222"/>
                <w:sz w:val="22"/>
              </w:rPr>
              <w:t>不要只盤點補助名稱；協助小組把「地方承受的壓力、政策接不住的地方、韌性架構要求增加的能力」整理成可執行的跨部會建議。</w:t>
            </w:r>
          </w:p>
        </w:tc>
      </w:tr>
    </w:tbl>
    <w:p>
      <w:pPr>
        <w:spacing w:after="0"/>
      </w:pPr>
    </w:p>
    <w:p>
      <w:pPr>
        <w:jc w:val="center"/>
      </w:pPr>
      <w:r>
        <w:rPr>
          <w:rFonts w:ascii="STHeiti" w:hAnsi="STHeiti" w:eastAsia="STHeiti"/>
          <w:b/>
          <w:color w:val="2E74B5"/>
          <w:sz w:val="22"/>
        </w:rPr>
        <w:t>一個案例｜三個斷點｜三項建議｜兩個問題</w:t>
      </w:r>
    </w:p>
    <w:p>
      <w:r>
        <w:br w:type="page"/>
      </w:r>
    </w:p>
    <w:p>
      <w:pPr>
        <w:pStyle w:val="Heading1"/>
      </w:pPr>
      <w:r>
        <w:t>一、先掌握會議真正要完成的事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0" w:line="288" w:lineRule="auto"/>
            </w:pPr>
            <w:r/>
            <w:r>
              <w:rPr>
                <w:rFonts w:ascii="STHeiti" w:hAnsi="STHeiti" w:eastAsia="STHeiti"/>
                <w:b/>
                <w:color w:val="1F4D78"/>
                <w:sz w:val="22"/>
              </w:rPr>
              <w:t>一句話判讀｜</w:t>
            </w:r>
            <w:r>
              <w:rPr>
                <w:rFonts w:ascii="STHeiti" w:hAnsi="STHeiti" w:eastAsia="STHeiti"/>
                <w:b w:val="0"/>
                <w:color w:val="222222"/>
                <w:sz w:val="22"/>
              </w:rPr>
              <w:t>這場會議正在建立地方創生的新政策語言：從單一補助、短期產值與活動人次，轉向地方是否能維持生活、累積關係、調整制度並面對變局。</w:t>
            </w:r>
          </w:p>
        </w:tc>
      </w:tr>
    </w:tbl>
    <w:p>
      <w:pPr>
        <w:spacing w:after="0"/>
      </w:pPr>
    </w:p>
    <w:p>
      <w:r>
        <w:rPr>
          <w:rFonts w:ascii="STHeiti" w:hAnsi="STHeiti" w:eastAsia="STHeiti"/>
          <w:b w:val="0"/>
          <w:color w:val="222222"/>
          <w:sz w:val="22"/>
        </w:rPr>
        <w:t>主辦方安排鹿寮坑溪地、埔里與南區案例，接著以固定五組、不換桌的方式討論兩題，顯示目的不是廣泛交換名片，而是讓跨部會與第一線工作者共同驗證「地方韌性」是否能成為政策診斷、資源組合與成效評估的上位框架。</w:t>
      </w:r>
    </w:p>
    <w:p>
      <w:pPr>
        <w:pStyle w:val="Heading2"/>
      </w:pPr>
      <w:r>
        <w:t>正式議程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165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1F4D78"/>
                <w:sz w:val="18"/>
              </w:rPr>
              <w:t>時間</w:t>
            </w:r>
          </w:p>
        </w:tc>
        <w:tc>
          <w:tcPr>
            <w:tcW w:type="dxa" w:w="367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1F4D78"/>
                <w:sz w:val="18"/>
              </w:rPr>
              <w:t>內容</w:t>
            </w:r>
          </w:p>
        </w:tc>
        <w:tc>
          <w:tcPr>
            <w:tcW w:type="dxa" w:w="403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1F4D78"/>
                <w:sz w:val="18"/>
              </w:rPr>
              <w:t>準備焦點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222222"/>
                <w:sz w:val="18"/>
              </w:rPr>
              <w:t>13:35–14:30</w:t>
            </w:r>
          </w:p>
        </w:tc>
        <w:tc>
          <w:tcPr>
            <w:tcW w:type="dxa" w:w="367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STHeiti" w:hAnsi="STHeiti" w:eastAsia="STHeiti"/>
                <w:b w:val="0"/>
                <w:color w:val="222222"/>
                <w:sz w:val="18"/>
              </w:rPr>
              <w:t>案例敘事、成果、規劃報告與工具箱</w:t>
            </w:r>
          </w:p>
        </w:tc>
        <w:tc>
          <w:tcPr>
            <w:tcW w:type="dxa" w:w="403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STHeiti" w:hAnsi="STHeiti" w:eastAsia="STHeiti"/>
                <w:b w:val="0"/>
                <w:color w:val="222222"/>
                <w:sz w:val="18"/>
              </w:rPr>
              <w:t>記下案例如何從產值外說明地方改變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222222"/>
                <w:sz w:val="18"/>
              </w:rPr>
              <w:t>14:35–15:45</w:t>
            </w:r>
          </w:p>
        </w:tc>
        <w:tc>
          <w:tcPr>
            <w:tcW w:type="dxa" w:w="367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STHeiti" w:hAnsi="STHeiti" w:eastAsia="STHeiti"/>
                <w:b w:val="0"/>
                <w:color w:val="222222"/>
                <w:sz w:val="18"/>
              </w:rPr>
              <w:t>5組固定討論，不換桌</w:t>
            </w:r>
          </w:p>
        </w:tc>
        <w:tc>
          <w:tcPr>
            <w:tcW w:type="dxa" w:w="403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STHeiti" w:hAnsi="STHeiti" w:eastAsia="STHeiti"/>
                <w:b w:val="0"/>
                <w:color w:val="222222"/>
                <w:sz w:val="18"/>
              </w:rPr>
              <w:t>完成政策資源、挑戰、韌性解法與三項建議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222222"/>
                <w:sz w:val="18"/>
              </w:rPr>
              <w:t>15:45–16:20</w:t>
            </w:r>
          </w:p>
        </w:tc>
        <w:tc>
          <w:tcPr>
            <w:tcW w:type="dxa" w:w="367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STHeiti" w:hAnsi="STHeiti" w:eastAsia="STHeiti"/>
                <w:b w:val="0"/>
                <w:color w:val="222222"/>
                <w:sz w:val="18"/>
              </w:rPr>
              <w:t>每組發表7分鐘</w:t>
            </w:r>
          </w:p>
        </w:tc>
        <w:tc>
          <w:tcPr>
            <w:tcW w:type="dxa" w:w="403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STHeiti" w:hAnsi="STHeiti" w:eastAsia="STHeiti"/>
                <w:b w:val="0"/>
                <w:color w:val="222222"/>
                <w:sz w:val="18"/>
              </w:rPr>
              <w:t>用問題—斷點—解法呈現，不逐條念紀錄</w:t>
            </w:r>
          </w:p>
        </w:tc>
      </w:tr>
    </w:tbl>
    <w:p>
      <w:pPr>
        <w:spacing w:after="0"/>
      </w:pPr>
    </w:p>
    <w:p>
      <w:pPr>
        <w:pStyle w:val="Heading2"/>
      </w:pPr>
      <w:r>
        <w:t>兩道正式題目</w:t>
      </w:r>
    </w:p>
    <w:p>
      <w:pPr>
        <w:pStyle w:val="ListNumber"/>
      </w:pPr>
      <w:r>
        <w:rPr>
          <w:rFonts w:ascii="STHeiti" w:hAnsi="STHeiti" w:eastAsia="STHeiti"/>
          <w:b w:val="0"/>
          <w:color w:val="222222"/>
          <w:sz w:val="22"/>
        </w:rPr>
        <w:t>各部會目前與地方創生相關的政策資源或補助計畫是什麼？在推動上面臨什麼挑戰？</w:t>
      </w:r>
    </w:p>
    <w:p>
      <w:pPr>
        <w:pStyle w:val="ListNumber"/>
      </w:pPr>
      <w:r>
        <w:rPr>
          <w:rFonts w:ascii="STHeiti" w:hAnsi="STHeiti" w:eastAsia="STHeiti"/>
          <w:b w:val="0"/>
          <w:color w:val="222222"/>
          <w:sz w:val="22"/>
        </w:rPr>
        <w:t>呼應韌性架構，此架構可以如何解開上述挑戰？</w:t>
      </w:r>
    </w:p>
    <w:p>
      <w:pPr>
        <w:pStyle w:val="Heading1"/>
      </w:pPr>
      <w:r>
        <w:t>二、三篇閱讀材料形成的共同論述</w:t>
      </w:r>
    </w:p>
    <w:p>
      <w:pPr>
        <w:pStyle w:val="Heading2"/>
      </w:pPr>
      <w:r>
        <w:t>1. 地方韌性是四種能力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151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1F4D78"/>
                <w:sz w:val="18"/>
              </w:rPr>
              <w:t>能力</w:t>
            </w:r>
          </w:p>
        </w:tc>
        <w:tc>
          <w:tcPr>
            <w:tcW w:type="dxa" w:w="367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1F4D78"/>
                <w:sz w:val="18"/>
              </w:rPr>
              <w:t>判斷問題</w:t>
            </w:r>
          </w:p>
        </w:tc>
        <w:tc>
          <w:tcPr>
            <w:tcW w:type="dxa" w:w="417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1F4D78"/>
                <w:sz w:val="18"/>
              </w:rPr>
              <w:t>政策含義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222222"/>
                <w:sz w:val="18"/>
              </w:rPr>
              <w:t>抵抗力</w:t>
            </w:r>
          </w:p>
        </w:tc>
        <w:tc>
          <w:tcPr>
            <w:tcW w:type="dxa" w:w="367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STHeiti" w:hAnsi="STHeiti" w:eastAsia="STHeiti"/>
                <w:b w:val="0"/>
                <w:color w:val="222222"/>
                <w:sz w:val="18"/>
              </w:rPr>
              <w:t>第一波衝擊時能否守住基本功能？</w:t>
            </w:r>
          </w:p>
        </w:tc>
        <w:tc>
          <w:tcPr>
            <w:tcW w:type="dxa" w:w="417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STHeiti" w:hAnsi="STHeiti" w:eastAsia="STHeiti"/>
                <w:b w:val="0"/>
                <w:color w:val="222222"/>
                <w:sz w:val="18"/>
              </w:rPr>
              <w:t>平時是否有多元收入、備援與基本服務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222222"/>
                <w:sz w:val="18"/>
              </w:rPr>
              <w:t>吸收力</w:t>
            </w:r>
          </w:p>
        </w:tc>
        <w:tc>
          <w:tcPr>
            <w:tcW w:type="dxa" w:w="367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STHeiti" w:hAnsi="STHeiti" w:eastAsia="STHeiti"/>
                <w:b w:val="0"/>
                <w:color w:val="222222"/>
                <w:sz w:val="18"/>
              </w:rPr>
              <w:t>受創後能否維持或迅速恢復？</w:t>
            </w:r>
          </w:p>
        </w:tc>
        <w:tc>
          <w:tcPr>
            <w:tcW w:type="dxa" w:w="417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STHeiti" w:hAnsi="STHeiti" w:eastAsia="STHeiti"/>
                <w:b w:val="0"/>
                <w:color w:val="222222"/>
                <w:sz w:val="18"/>
              </w:rPr>
              <w:t>服務中斷多久、誰能支援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222222"/>
                <w:sz w:val="18"/>
              </w:rPr>
              <w:t>適應力</w:t>
            </w:r>
          </w:p>
        </w:tc>
        <w:tc>
          <w:tcPr>
            <w:tcW w:type="dxa" w:w="367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STHeiti" w:hAnsi="STHeiti" w:eastAsia="STHeiti"/>
                <w:b w:val="0"/>
                <w:color w:val="222222"/>
                <w:sz w:val="18"/>
              </w:rPr>
              <w:t>條件改變時能否調整運作？</w:t>
            </w:r>
          </w:p>
        </w:tc>
        <w:tc>
          <w:tcPr>
            <w:tcW w:type="dxa" w:w="417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STHeiti" w:hAnsi="STHeiti" w:eastAsia="STHeiti"/>
                <w:b w:val="0"/>
                <w:color w:val="222222"/>
                <w:sz w:val="18"/>
              </w:rPr>
              <w:t>能否改變通路、工作、服務與合作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222222"/>
                <w:sz w:val="18"/>
              </w:rPr>
              <w:t>轉型力</w:t>
            </w:r>
          </w:p>
        </w:tc>
        <w:tc>
          <w:tcPr>
            <w:tcW w:type="dxa" w:w="367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STHeiti" w:hAnsi="STHeiti" w:eastAsia="STHeiti"/>
                <w:b w:val="0"/>
                <w:color w:val="222222"/>
                <w:sz w:val="18"/>
              </w:rPr>
              <w:t>能否從危機長出新結構？</w:t>
            </w:r>
          </w:p>
        </w:tc>
        <w:tc>
          <w:tcPr>
            <w:tcW w:type="dxa" w:w="417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STHeiti" w:hAnsi="STHeiti" w:eastAsia="STHeiti"/>
                <w:b w:val="0"/>
                <w:color w:val="222222"/>
                <w:sz w:val="18"/>
              </w:rPr>
              <w:t>是否形成新產業、新治理與新生活方式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0" w:line="288" w:lineRule="auto"/>
            </w:pPr>
            <w:r/>
            <w:r>
              <w:rPr>
                <w:rFonts w:ascii="STHeiti" w:hAnsi="STHeiti" w:eastAsia="STHeiti"/>
                <w:b/>
                <w:color w:val="1F4D78"/>
                <w:sz w:val="22"/>
              </w:rPr>
              <w:t>評估公式｜</w:t>
            </w:r>
            <w:r>
              <w:rPr>
                <w:rFonts w:ascii="STHeiti" w:hAnsi="STHeiti" w:eastAsia="STHeiti"/>
                <w:b w:val="0"/>
                <w:color w:val="222222"/>
                <w:sz w:val="22"/>
              </w:rPr>
              <w:t>地方韌性＝結構韌性（地方體質）× 應變韌性（面對衝擊的反應）。因此不能只看現在有多少資源，也要看資源中斷時能否維持、調整與轉型。</w:t>
            </w:r>
          </w:p>
        </w:tc>
      </w:tr>
    </w:tbl>
    <w:p>
      <w:pPr>
        <w:spacing w:after="0"/>
      </w:pPr>
    </w:p>
    <w:p>
      <w:pPr>
        <w:pStyle w:val="Heading2"/>
      </w:pPr>
      <w:r>
        <w:t>2. 六大面向把地方還原為生活系統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187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1F4D78"/>
                <w:sz w:val="18"/>
              </w:rPr>
              <w:t>面向</w:t>
            </w:r>
          </w:p>
        </w:tc>
        <w:tc>
          <w:tcPr>
            <w:tcW w:type="dxa" w:w="748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1F4D78"/>
                <w:sz w:val="18"/>
              </w:rPr>
              <w:t>最直接的問題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222222"/>
                <w:sz w:val="18"/>
              </w:rPr>
              <w:t>經濟</w:t>
            </w:r>
          </w:p>
        </w:tc>
        <w:tc>
          <w:tcPr>
            <w:tcW w:type="dxa" w:w="748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STHeiti" w:hAnsi="STHeiti" w:eastAsia="STHeiti"/>
                <w:b w:val="0"/>
                <w:color w:val="222222"/>
                <w:sz w:val="18"/>
              </w:rPr>
              <w:t>收入與產業是否多元？錢是否留在地方循環？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222222"/>
                <w:sz w:val="18"/>
              </w:rPr>
              <w:t>社會</w:t>
            </w:r>
          </w:p>
        </w:tc>
        <w:tc>
          <w:tcPr>
            <w:tcW w:type="dxa" w:w="748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STHeiti" w:hAnsi="STHeiti" w:eastAsia="STHeiti"/>
                <w:b w:val="0"/>
                <w:color w:val="222222"/>
                <w:sz w:val="18"/>
              </w:rPr>
              <w:t>居民、組織與店家是否互相信任並能動員？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222222"/>
                <w:sz w:val="18"/>
              </w:rPr>
              <w:t>人才培育</w:t>
            </w:r>
          </w:p>
        </w:tc>
        <w:tc>
          <w:tcPr>
            <w:tcW w:type="dxa" w:w="748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STHeiti" w:hAnsi="STHeiti" w:eastAsia="STHeiti"/>
                <w:b w:val="0"/>
                <w:color w:val="222222"/>
                <w:sz w:val="18"/>
              </w:rPr>
              <w:t>青年與關鍵工作者能否留下、成長與接班？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222222"/>
                <w:sz w:val="18"/>
              </w:rPr>
              <w:t>集體認同</w:t>
            </w:r>
          </w:p>
        </w:tc>
        <w:tc>
          <w:tcPr>
            <w:tcW w:type="dxa" w:w="748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STHeiti" w:hAnsi="STHeiti" w:eastAsia="STHeiti"/>
                <w:b w:val="0"/>
                <w:color w:val="222222"/>
                <w:sz w:val="18"/>
              </w:rPr>
              <w:t>居民是否認為這是自己的家園並願意承擔？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222222"/>
                <w:sz w:val="18"/>
              </w:rPr>
              <w:t>自然環境</w:t>
            </w:r>
          </w:p>
        </w:tc>
        <w:tc>
          <w:tcPr>
            <w:tcW w:type="dxa" w:w="748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STHeiti" w:hAnsi="STHeiti" w:eastAsia="STHeiti"/>
                <w:b w:val="0"/>
                <w:color w:val="222222"/>
                <w:sz w:val="18"/>
              </w:rPr>
              <w:t>產業與觀光是否超過環境承載力？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222222"/>
                <w:sz w:val="18"/>
              </w:rPr>
              <w:t>基礎建設</w:t>
            </w:r>
          </w:p>
        </w:tc>
        <w:tc>
          <w:tcPr>
            <w:tcW w:type="dxa" w:w="748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STHeiti" w:hAnsi="STHeiti" w:eastAsia="STHeiti"/>
                <w:b w:val="0"/>
                <w:color w:val="222222"/>
                <w:sz w:val="18"/>
              </w:rPr>
              <w:t>交通、醫療、教育、防災與公共空間是否支持生活？</w:t>
            </w:r>
          </w:p>
        </w:tc>
      </w:tr>
    </w:tbl>
    <w:p>
      <w:pPr>
        <w:spacing w:after="0"/>
      </w:pPr>
    </w:p>
    <w:p>
      <w:pPr>
        <w:pStyle w:val="Heading2"/>
      </w:pPr>
      <w:r>
        <w:t>3. 地方創生是一種政策典範，不只是補助類別</w:t>
      </w:r>
    </w:p>
    <w:p>
      <w:r>
        <w:rPr>
          <w:rFonts w:ascii="STHeiti" w:hAnsi="STHeiti" w:eastAsia="STHeiti"/>
          <w:b w:val="0"/>
          <w:color w:val="222222"/>
          <w:sz w:val="22"/>
        </w:rPr>
        <w:t>延伸文章主張，地方創生若只是青年創業、觀光或產業補助的延續，就沒有獨特政策價值。它應是一個更上位的社會經濟框架，把經濟價值、社會關係、文化、生活與環境放在同一套判斷中。</w:t>
      </w:r>
    </w:p>
    <w:p>
      <w:pPr>
        <w:pStyle w:val="ListBullet"/>
      </w:pPr>
      <w:r>
        <w:rPr>
          <w:rFonts w:ascii="STHeiti" w:hAnsi="STHeiti" w:eastAsia="STHeiti"/>
          <w:b w:val="0"/>
          <w:color w:val="222222"/>
          <w:sz w:val="22"/>
        </w:rPr>
        <w:t>地方不是提供土地、人力、產品與文化素材的「產地」，而是居民生活、工作、照顧與形成認同的場域。</w:t>
      </w:r>
    </w:p>
    <w:p>
      <w:pPr>
        <w:pStyle w:val="ListBullet"/>
      </w:pPr>
      <w:r>
        <w:rPr>
          <w:rFonts w:ascii="STHeiti" w:hAnsi="STHeiti" w:eastAsia="STHeiti"/>
          <w:b w:val="0"/>
          <w:color w:val="222222"/>
          <w:sz w:val="22"/>
        </w:rPr>
        <w:t>不是反對產值，而是追問產值的來源、流向、分配、代價與補助結束後能否延續。</w:t>
      </w:r>
    </w:p>
    <w:p>
      <w:pPr>
        <w:pStyle w:val="ListBullet"/>
      </w:pPr>
      <w:r>
        <w:rPr>
          <w:rFonts w:ascii="STHeiti" w:hAnsi="STHeiti" w:eastAsia="STHeiti"/>
          <w:b w:val="0"/>
          <w:color w:val="222222"/>
          <w:sz w:val="22"/>
        </w:rPr>
        <w:t>地方小微產業與社區網絡像經濟微血管，決定國家財富能否真正流入地方生活。</w:t>
      </w:r>
    </w:p>
    <w:p>
      <w:pPr>
        <w:pStyle w:val="ListBullet"/>
      </w:pPr>
      <w:r>
        <w:rPr>
          <w:rFonts w:ascii="STHeiti" w:hAnsi="STHeiti" w:eastAsia="STHeiti"/>
          <w:b w:val="0"/>
          <w:color w:val="222222"/>
          <w:sz w:val="22"/>
        </w:rPr>
        <w:t>政策應支持能讓收入、人才、關係與能力留在地方的「家園經濟」。</w:t>
      </w:r>
    </w:p>
    <w:p>
      <w:pPr>
        <w:pStyle w:val="Heading1"/>
      </w:pPr>
      <w:r>
        <w:t>三、第一題可能出現的政策挑戰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194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1F4D78"/>
                <w:sz w:val="18"/>
              </w:rPr>
              <w:t>可能討論</w:t>
            </w:r>
          </w:p>
        </w:tc>
        <w:tc>
          <w:tcPr>
            <w:tcW w:type="dxa" w:w="3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1F4D78"/>
                <w:sz w:val="18"/>
              </w:rPr>
              <w:t>現場常見表現</w:t>
            </w:r>
          </w:p>
        </w:tc>
        <w:tc>
          <w:tcPr>
            <w:tcW w:type="dxa" w:w="381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1F4D78"/>
                <w:sz w:val="18"/>
              </w:rPr>
              <w:t>深層問題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222222"/>
                <w:sz w:val="18"/>
              </w:rPr>
              <w:t>資源很多但不會組合</w:t>
            </w:r>
          </w:p>
        </w:tc>
        <w:tc>
          <w:tcPr>
            <w:tcW w:type="dxa" w:w="3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STHeiti" w:hAnsi="STHeiti" w:eastAsia="STHeiti"/>
                <w:b w:val="0"/>
                <w:color w:val="222222"/>
                <w:sz w:val="18"/>
              </w:rPr>
              <w:t>同一目標拆成多份計畫</w:t>
            </w:r>
          </w:p>
        </w:tc>
        <w:tc>
          <w:tcPr>
            <w:tcW w:type="dxa" w:w="381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STHeiti" w:hAnsi="STHeiti" w:eastAsia="STHeiti"/>
                <w:b w:val="0"/>
                <w:color w:val="222222"/>
                <w:sz w:val="18"/>
              </w:rPr>
              <w:t>部會依權責分工，地方問題卻是完整系統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222222"/>
                <w:sz w:val="18"/>
              </w:rPr>
              <w:t>期程與KPI不一致</w:t>
            </w:r>
          </w:p>
        </w:tc>
        <w:tc>
          <w:tcPr>
            <w:tcW w:type="dxa" w:w="3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STHeiti" w:hAnsi="STHeiti" w:eastAsia="STHeiti"/>
                <w:b w:val="0"/>
                <w:color w:val="222222"/>
                <w:sz w:val="18"/>
              </w:rPr>
              <w:t>各計畫各自結案、重複佐證</w:t>
            </w:r>
          </w:p>
        </w:tc>
        <w:tc>
          <w:tcPr>
            <w:tcW w:type="dxa" w:w="381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STHeiti" w:hAnsi="STHeiti" w:eastAsia="STHeiti"/>
                <w:b w:val="0"/>
                <w:color w:val="222222"/>
                <w:sz w:val="18"/>
              </w:rPr>
              <w:t>沒有共同里程碑與整合窗口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222222"/>
                <w:sz w:val="18"/>
              </w:rPr>
              <w:t>重短期成果</w:t>
            </w:r>
          </w:p>
        </w:tc>
        <w:tc>
          <w:tcPr>
            <w:tcW w:type="dxa" w:w="3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STHeiti" w:hAnsi="STHeiti" w:eastAsia="STHeiti"/>
                <w:b w:val="0"/>
                <w:color w:val="222222"/>
                <w:sz w:val="18"/>
              </w:rPr>
              <w:t>偏重場次、人次、曝光、執行率</w:t>
            </w:r>
          </w:p>
        </w:tc>
        <w:tc>
          <w:tcPr>
            <w:tcW w:type="dxa" w:w="381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STHeiti" w:hAnsi="STHeiti" w:eastAsia="STHeiti"/>
                <w:b w:val="0"/>
                <w:color w:val="222222"/>
                <w:sz w:val="18"/>
              </w:rPr>
              <w:t>關係、能力與接班難以被行政語言承認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222222"/>
                <w:sz w:val="18"/>
              </w:rPr>
              <w:t>補助結束難以維持</w:t>
            </w:r>
          </w:p>
        </w:tc>
        <w:tc>
          <w:tcPr>
            <w:tcW w:type="dxa" w:w="3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STHeiti" w:hAnsi="STHeiti" w:eastAsia="STHeiti"/>
                <w:b w:val="0"/>
                <w:color w:val="222222"/>
                <w:sz w:val="18"/>
              </w:rPr>
              <w:t>人力退場、空間與設備無人維護</w:t>
            </w:r>
          </w:p>
        </w:tc>
        <w:tc>
          <w:tcPr>
            <w:tcW w:type="dxa" w:w="381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STHeiti" w:hAnsi="STHeiti" w:eastAsia="STHeiti"/>
                <w:b w:val="0"/>
                <w:color w:val="222222"/>
                <w:sz w:val="18"/>
              </w:rPr>
              <w:t>缺少營運收入與長期支持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222222"/>
                <w:sz w:val="18"/>
              </w:rPr>
              <w:t>資源集中少數團隊</w:t>
            </w:r>
          </w:p>
        </w:tc>
        <w:tc>
          <w:tcPr>
            <w:tcW w:type="dxa" w:w="3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STHeiti" w:hAnsi="STHeiti" w:eastAsia="STHeiti"/>
                <w:b w:val="0"/>
                <w:color w:val="222222"/>
                <w:sz w:val="18"/>
              </w:rPr>
              <w:t>明星團隊成長，周邊仍脆弱</w:t>
            </w:r>
          </w:p>
        </w:tc>
        <w:tc>
          <w:tcPr>
            <w:tcW w:type="dxa" w:w="381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STHeiti" w:hAnsi="STHeiti" w:eastAsia="STHeiti"/>
                <w:b w:val="0"/>
                <w:color w:val="222222"/>
                <w:sz w:val="18"/>
              </w:rPr>
              <w:t>尚未形成多節點的小微經濟網絡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222222"/>
                <w:sz w:val="18"/>
              </w:rPr>
              <w:t>地方價值被外部抽取</w:t>
            </w:r>
          </w:p>
        </w:tc>
        <w:tc>
          <w:tcPr>
            <w:tcW w:type="dxa" w:w="3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STHeiti" w:hAnsi="STHeiti" w:eastAsia="STHeiti"/>
                <w:b w:val="0"/>
                <w:color w:val="222222"/>
                <w:sz w:val="18"/>
              </w:rPr>
              <w:t>外部廠商獲益、成本由居民承擔</w:t>
            </w:r>
          </w:p>
        </w:tc>
        <w:tc>
          <w:tcPr>
            <w:tcW w:type="dxa" w:w="381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STHeiti" w:hAnsi="STHeiti" w:eastAsia="STHeiti"/>
                <w:b w:val="0"/>
                <w:color w:val="222222"/>
                <w:sz w:val="18"/>
              </w:rPr>
              <w:t>產值增加不等於地方受益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0" w:line="288" w:lineRule="auto"/>
            </w:pPr>
            <w:r/>
            <w:r>
              <w:rPr>
                <w:rFonts w:ascii="STHeiti" w:hAnsi="STHeiti" w:eastAsia="STHeiti"/>
                <w:b/>
                <w:color w:val="1F4D78"/>
                <w:sz w:val="22"/>
              </w:rPr>
              <w:t>可用追問｜</w:t>
            </w:r>
            <w:r>
              <w:rPr>
                <w:rFonts w:ascii="STHeiti" w:hAnsi="STHeiti" w:eastAsia="STHeiti"/>
                <w:b w:val="0"/>
                <w:color w:val="222222"/>
                <w:sz w:val="22"/>
              </w:rPr>
              <w:t>這項補助創造的收入、人才、合作關係與能力，有多少在結案後仍留在地方？若主力團隊或單一補助退出，地方還能運作嗎？</w:t>
            </w:r>
          </w:p>
        </w:tc>
      </w:tr>
    </w:tbl>
    <w:p>
      <w:pPr>
        <w:spacing w:after="0"/>
      </w:pPr>
    </w:p>
    <w:p>
      <w:pPr>
        <w:pStyle w:val="Heading1"/>
      </w:pPr>
      <w:r>
        <w:t>四、第二題如何用韌性架構解題</w:t>
      </w:r>
    </w:p>
    <w:p>
      <w:pPr>
        <w:pStyle w:val="ListNumber"/>
      </w:pPr>
      <w:r>
        <w:rPr>
          <w:rFonts w:ascii="STHeiti" w:hAnsi="STHeiti" w:eastAsia="STHeiti"/>
          <w:b w:val="0"/>
          <w:color w:val="222222"/>
          <w:sz w:val="22"/>
        </w:rPr>
        <w:t>先說地方承受什麼壓力：人口、高齡、產業、空間、醫療、教育、環境或組織接班。</w:t>
      </w:r>
    </w:p>
    <w:p>
      <w:pPr>
        <w:pStyle w:val="ListNumber"/>
      </w:pPr>
      <w:r>
        <w:rPr>
          <w:rFonts w:ascii="STHeiti" w:hAnsi="STHeiti" w:eastAsia="STHeiti"/>
          <w:b w:val="0"/>
          <w:color w:val="222222"/>
          <w:sz w:val="22"/>
        </w:rPr>
        <w:t>再指出現有政策在哪裡接不住：資格、期程、KPI、核銷、權責、營運或跨部會斷點。</w:t>
      </w:r>
    </w:p>
    <w:p>
      <w:pPr>
        <w:pStyle w:val="ListNumber"/>
      </w:pPr>
      <w:r>
        <w:rPr>
          <w:rFonts w:ascii="STHeiti" w:hAnsi="STHeiti" w:eastAsia="STHeiti"/>
          <w:b w:val="0"/>
          <w:color w:val="222222"/>
          <w:sz w:val="22"/>
        </w:rPr>
        <w:t>用六大面向檢查被忽略的系統關係。</w:t>
      </w:r>
    </w:p>
    <w:p>
      <w:pPr>
        <w:pStyle w:val="ListNumber"/>
      </w:pPr>
      <w:r>
        <w:rPr>
          <w:rFonts w:ascii="STHeiti" w:hAnsi="STHeiti" w:eastAsia="STHeiti"/>
          <w:b w:val="0"/>
          <w:color w:val="222222"/>
          <w:sz w:val="22"/>
        </w:rPr>
        <w:t>用抵抗、吸收、適應、轉型四種能力，說明政策應增加什麼能力。</w:t>
      </w:r>
    </w:p>
    <w:p>
      <w:pPr>
        <w:pStyle w:val="ListNumber"/>
      </w:pPr>
      <w:r>
        <w:rPr>
          <w:rFonts w:ascii="STHeiti" w:hAnsi="STHeiti" w:eastAsia="STHeiti"/>
          <w:b w:val="0"/>
          <w:color w:val="222222"/>
          <w:sz w:val="22"/>
        </w:rPr>
        <w:t>提出制度改變：整合窗口、資源組合、共同里程碑、共同佐證、長期支持與政策回饋。</w:t>
      </w:r>
    </w:p>
    <w:p>
      <w:pPr>
        <w:pStyle w:val="Heading2"/>
      </w:pPr>
      <w:r>
        <w:t>政策解法候選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259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1F4D78"/>
                <w:sz w:val="18"/>
              </w:rPr>
              <w:t>解法</w:t>
            </w:r>
          </w:p>
        </w:tc>
        <w:tc>
          <w:tcPr>
            <w:tcW w:type="dxa" w:w="67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1F4D78"/>
                <w:sz w:val="18"/>
              </w:rPr>
              <w:t>具體作法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222222"/>
                <w:sz w:val="18"/>
              </w:rPr>
              <w:t>從補助導向改為問題導向</w:t>
            </w:r>
          </w:p>
        </w:tc>
        <w:tc>
          <w:tcPr>
            <w:tcW w:type="dxa" w:w="67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STHeiti" w:hAnsi="STHeiti" w:eastAsia="STHeiti"/>
                <w:b w:val="0"/>
                <w:color w:val="222222"/>
                <w:sz w:val="18"/>
              </w:rPr>
              <w:t>先做地方壓力與六面向診斷，再組合部會工具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222222"/>
                <w:sz w:val="18"/>
              </w:rPr>
              <w:t>跨部會資源組合</w:t>
            </w:r>
          </w:p>
        </w:tc>
        <w:tc>
          <w:tcPr>
            <w:tcW w:type="dxa" w:w="67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STHeiti" w:hAnsi="STHeiti" w:eastAsia="STHeiti"/>
                <w:b w:val="0"/>
                <w:color w:val="222222"/>
                <w:sz w:val="18"/>
              </w:rPr>
              <w:t>一個地方目標對應多項工具，指定整合窗口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222222"/>
                <w:sz w:val="18"/>
              </w:rPr>
              <w:t>共同成果架構</w:t>
            </w:r>
          </w:p>
        </w:tc>
        <w:tc>
          <w:tcPr>
            <w:tcW w:type="dxa" w:w="67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STHeiti" w:hAnsi="STHeiti" w:eastAsia="STHeiti"/>
                <w:b w:val="0"/>
                <w:color w:val="222222"/>
                <w:sz w:val="18"/>
              </w:rPr>
              <w:t>建立共同核心指標、地方自選指標與案例敘事證據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222222"/>
                <w:sz w:val="18"/>
              </w:rPr>
              <w:t>分階段長期支持</w:t>
            </w:r>
          </w:p>
        </w:tc>
        <w:tc>
          <w:tcPr>
            <w:tcW w:type="dxa" w:w="67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STHeiti" w:hAnsi="STHeiti" w:eastAsia="STHeiti"/>
                <w:b w:val="0"/>
                <w:color w:val="222222"/>
                <w:sz w:val="18"/>
              </w:rPr>
              <w:t>由能力建立、試行、營運到退場分期，不只單年度補助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222222"/>
                <w:sz w:val="18"/>
              </w:rPr>
              <w:t>共同佐證與行政減量</w:t>
            </w:r>
          </w:p>
        </w:tc>
        <w:tc>
          <w:tcPr>
            <w:tcW w:type="dxa" w:w="67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STHeiti" w:hAnsi="STHeiti" w:eastAsia="STHeiti"/>
                <w:b w:val="0"/>
                <w:color w:val="222222"/>
                <w:sz w:val="18"/>
              </w:rPr>
              <w:t>部會共同採認部分資料，避免地方重複填報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222222"/>
                <w:sz w:val="18"/>
              </w:rPr>
              <w:t>制度缺口回饋</w:t>
            </w:r>
          </w:p>
        </w:tc>
        <w:tc>
          <w:tcPr>
            <w:tcW w:type="dxa" w:w="67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STHeiti" w:hAnsi="STHeiti" w:eastAsia="STHeiti"/>
                <w:b w:val="0"/>
                <w:color w:val="222222"/>
                <w:sz w:val="18"/>
              </w:rPr>
              <w:t>工具箱診斷出無計畫承接的需求時，能回饋政策調整</w:t>
            </w:r>
          </w:p>
        </w:tc>
      </w:tr>
    </w:tbl>
    <w:p>
      <w:pPr>
        <w:spacing w:after="0"/>
      </w:pPr>
    </w:p>
    <w:p>
      <w:pPr>
        <w:pStyle w:val="Heading1"/>
      </w:pPr>
      <w:r>
        <w:t>五、最可能出現的三場爭論</w:t>
      </w:r>
    </w:p>
    <w:p>
      <w:pPr>
        <w:pStyle w:val="Heading2"/>
      </w:pPr>
      <w:r>
        <w:t>爭論一：產值還是價值？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0" w:line="288" w:lineRule="auto"/>
            </w:pPr>
            <w:r/>
            <w:r>
              <w:rPr>
                <w:rFonts w:ascii="STHeiti" w:hAnsi="STHeiti" w:eastAsia="STHeiti"/>
                <w:b/>
                <w:color w:val="1F4D78"/>
                <w:sz w:val="22"/>
              </w:rPr>
              <w:t>建議收斂｜</w:t>
            </w:r>
            <w:r>
              <w:rPr>
                <w:rFonts w:ascii="STHeiti" w:hAnsi="STHeiti" w:eastAsia="STHeiti"/>
                <w:b w:val="0"/>
                <w:color w:val="222222"/>
                <w:sz w:val="22"/>
              </w:rPr>
              <w:t>不是取消產值，而是追問產值的來源、流向、分配與延續。高度依賴單一補助的高產值未必有韌性；能留在地方、支撐多個角色並持續循環的小規模收入，可能更有韌性。</w:t>
            </w:r>
          </w:p>
        </w:tc>
      </w:tr>
    </w:tbl>
    <w:p>
      <w:pPr>
        <w:spacing w:after="0"/>
      </w:pPr>
    </w:p>
    <w:p>
      <w:pPr>
        <w:pStyle w:val="Heading2"/>
      </w:pPr>
      <w:r>
        <w:t>爭論二：標準化指標還是地方差異？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0" w:line="288" w:lineRule="auto"/>
            </w:pPr>
            <w:r/>
            <w:r>
              <w:rPr>
                <w:rFonts w:ascii="STHeiti" w:hAnsi="STHeiti" w:eastAsia="STHeiti"/>
                <w:b/>
                <w:color w:val="1F4D78"/>
                <w:sz w:val="22"/>
              </w:rPr>
              <w:t>建議收斂｜</w:t>
            </w:r>
            <w:r>
              <w:rPr>
                <w:rFonts w:ascii="STHeiti" w:hAnsi="STHeiti" w:eastAsia="STHeiti"/>
                <w:b w:val="0"/>
                <w:color w:val="222222"/>
                <w:sz w:val="22"/>
              </w:rPr>
              <w:t>採「共同核心指標＋地方自選指標＋案例敘事證據」。中央保留比較基礎，地方保留問題脈絡。</w:t>
            </w:r>
          </w:p>
        </w:tc>
      </w:tr>
    </w:tbl>
    <w:p>
      <w:pPr>
        <w:spacing w:after="0"/>
      </w:pPr>
    </w:p>
    <w:p>
      <w:pPr>
        <w:pStyle w:val="Heading2"/>
      </w:pPr>
      <w:r>
        <w:t>爭論三：韌性是地方責任還是政府責任？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0" w:line="288" w:lineRule="auto"/>
            </w:pPr>
            <w:r/>
            <w:r>
              <w:rPr>
                <w:rFonts w:ascii="STHeiti" w:hAnsi="STHeiti" w:eastAsia="STHeiti"/>
                <w:b/>
                <w:color w:val="1F4D78"/>
                <w:sz w:val="22"/>
              </w:rPr>
              <w:t>建議收斂｜</w:t>
            </w:r>
            <w:r>
              <w:rPr>
                <w:rFonts w:ascii="STHeiti" w:hAnsi="STHeiti" w:eastAsia="STHeiti"/>
                <w:b w:val="0"/>
                <w:color w:val="222222"/>
                <w:sz w:val="22"/>
              </w:rPr>
              <w:t>韌性不是要求地方自己想辦法，而是重新釐清中央、地方政府、輔導體系與地方組織各自要承擔什麼。交通、醫療、土地、法規與長期財政不能下放給地方團隊。</w:t>
            </w:r>
          </w:p>
        </w:tc>
      </w:tr>
    </w:tbl>
    <w:p>
      <w:pPr>
        <w:spacing w:after="0"/>
      </w:pPr>
    </w:p>
    <w:p>
      <w:pPr>
        <w:pStyle w:val="Heading1"/>
      </w:pPr>
      <w:r>
        <w:t>六、你的角色與可帶入案例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0" w:line="288" w:lineRule="auto"/>
            </w:pPr>
            <w:r/>
            <w:r>
              <w:rPr>
                <w:rFonts w:ascii="STHeiti" w:hAnsi="STHeiti" w:eastAsia="STHeiti"/>
                <w:b/>
                <w:color w:val="1F4D78"/>
                <w:sz w:val="22"/>
              </w:rPr>
              <w:t>角色定位｜</w:t>
            </w:r>
            <w:r>
              <w:rPr>
                <w:rFonts w:ascii="STHeiti" w:hAnsi="STHeiti" w:eastAsia="STHeiti"/>
                <w:b w:val="0"/>
                <w:color w:val="222222"/>
                <w:sz w:val="22"/>
              </w:rPr>
              <w:t>地方需求與政府制度之間的轉譯者：把地方完整生活問題，整理成部會可理解的制度斷點、資源組合與驗證方式。</w:t>
            </w:r>
          </w:p>
        </w:tc>
      </w:tr>
    </w:tbl>
    <w:p>
      <w:pPr>
        <w:spacing w:after="0"/>
      </w:pPr>
    </w:p>
    <w:p>
      <w:pPr>
        <w:pStyle w:val="Heading2"/>
      </w:pPr>
      <w:r>
        <w:t>建議案例：公有空間活化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252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1F4D78"/>
                <w:sz w:val="18"/>
              </w:rPr>
              <w:t>地方需求</w:t>
            </w:r>
          </w:p>
        </w:tc>
        <w:tc>
          <w:tcPr>
            <w:tcW w:type="dxa" w:w="309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1F4D78"/>
                <w:sz w:val="18"/>
              </w:rPr>
              <w:t>涉及系統</w:t>
            </w:r>
          </w:p>
        </w:tc>
        <w:tc>
          <w:tcPr>
            <w:tcW w:type="dxa" w:w="374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1F4D78"/>
                <w:sz w:val="18"/>
              </w:rPr>
              <w:t>可指出的斷點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222222"/>
                <w:sz w:val="18"/>
              </w:rPr>
              <w:t>空間修繕與合法使用</w:t>
            </w:r>
          </w:p>
        </w:tc>
        <w:tc>
          <w:tcPr>
            <w:tcW w:type="dxa" w:w="309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STHeiti" w:hAnsi="STHeiti" w:eastAsia="STHeiti"/>
                <w:b w:val="0"/>
                <w:color w:val="222222"/>
                <w:sz w:val="18"/>
              </w:rPr>
              <w:t>內政、建管、消防、地方建設</w:t>
            </w:r>
          </w:p>
        </w:tc>
        <w:tc>
          <w:tcPr>
            <w:tcW w:type="dxa" w:w="374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STHeiti" w:hAnsi="STHeiti" w:eastAsia="STHeiti"/>
                <w:b w:val="0"/>
                <w:color w:val="222222"/>
                <w:sz w:val="18"/>
              </w:rPr>
              <w:t>硬體完成與營運啟動不同步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222222"/>
                <w:sz w:val="18"/>
              </w:rPr>
              <w:t>青年進駐與工作</w:t>
            </w:r>
          </w:p>
        </w:tc>
        <w:tc>
          <w:tcPr>
            <w:tcW w:type="dxa" w:w="309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STHeiti" w:hAnsi="STHeiti" w:eastAsia="STHeiti"/>
                <w:b w:val="0"/>
                <w:color w:val="222222"/>
                <w:sz w:val="18"/>
              </w:rPr>
              <w:t>青年、經濟、勞動、住房</w:t>
            </w:r>
          </w:p>
        </w:tc>
        <w:tc>
          <w:tcPr>
            <w:tcW w:type="dxa" w:w="374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STHeiti" w:hAnsi="STHeiti" w:eastAsia="STHeiti"/>
                <w:b w:val="0"/>
                <w:color w:val="222222"/>
                <w:sz w:val="18"/>
              </w:rPr>
              <w:t>有創業補助但缺生活與長期職涯支持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222222"/>
                <w:sz w:val="18"/>
              </w:rPr>
              <w:t>社區照顧與公共服務</w:t>
            </w:r>
          </w:p>
        </w:tc>
        <w:tc>
          <w:tcPr>
            <w:tcW w:type="dxa" w:w="309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STHeiti" w:hAnsi="STHeiti" w:eastAsia="STHeiti"/>
                <w:b w:val="0"/>
                <w:color w:val="222222"/>
                <w:sz w:val="18"/>
              </w:rPr>
              <w:t>衛福、社區、地方政府</w:t>
            </w:r>
          </w:p>
        </w:tc>
        <w:tc>
          <w:tcPr>
            <w:tcW w:type="dxa" w:w="374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STHeiti" w:hAnsi="STHeiti" w:eastAsia="STHeiti"/>
                <w:b w:val="0"/>
                <w:color w:val="222222"/>
                <w:sz w:val="18"/>
              </w:rPr>
              <w:t>服務計畫與空間／交通資源分離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222222"/>
                <w:sz w:val="18"/>
              </w:rPr>
              <w:t>文化、遊程與地方內容</w:t>
            </w:r>
          </w:p>
        </w:tc>
        <w:tc>
          <w:tcPr>
            <w:tcW w:type="dxa" w:w="309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STHeiti" w:hAnsi="STHeiti" w:eastAsia="STHeiti"/>
                <w:b w:val="0"/>
                <w:color w:val="222222"/>
                <w:sz w:val="18"/>
              </w:rPr>
              <w:t>文化、觀光、農業、教育</w:t>
            </w:r>
          </w:p>
        </w:tc>
        <w:tc>
          <w:tcPr>
            <w:tcW w:type="dxa" w:w="374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STHeiti" w:hAnsi="STHeiti" w:eastAsia="STHeiti"/>
                <w:b w:val="0"/>
                <w:color w:val="222222"/>
                <w:sz w:val="18"/>
              </w:rPr>
              <w:t>曝光與人次未必形成在地收入循環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222222"/>
                <w:sz w:val="18"/>
              </w:rPr>
              <w:t>環境與長期維護</w:t>
            </w:r>
          </w:p>
        </w:tc>
        <w:tc>
          <w:tcPr>
            <w:tcW w:type="dxa" w:w="309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STHeiti" w:hAnsi="STHeiti" w:eastAsia="STHeiti"/>
                <w:b w:val="0"/>
                <w:color w:val="222222"/>
                <w:sz w:val="18"/>
              </w:rPr>
              <w:t>環境、農業、防災、地方政府</w:t>
            </w:r>
          </w:p>
        </w:tc>
        <w:tc>
          <w:tcPr>
            <w:tcW w:type="dxa" w:w="374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STHeiti" w:hAnsi="STHeiti" w:eastAsia="STHeiti"/>
                <w:b w:val="0"/>
                <w:color w:val="222222"/>
                <w:sz w:val="18"/>
              </w:rPr>
              <w:t>建置經費有，維護與退場機制不足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0" w:line="288" w:lineRule="auto"/>
            </w:pPr>
            <w:r/>
            <w:r>
              <w:rPr>
                <w:rFonts w:ascii="STHeiti" w:hAnsi="STHeiti" w:eastAsia="STHeiti"/>
                <w:b/>
                <w:color w:val="1F4D78"/>
                <w:sz w:val="22"/>
              </w:rPr>
              <w:t>案例結論｜</w:t>
            </w:r>
            <w:r>
              <w:rPr>
                <w:rFonts w:ascii="STHeiti" w:hAnsi="STHeiti" w:eastAsia="STHeiti"/>
                <w:b w:val="0"/>
                <w:color w:val="222222"/>
                <w:sz w:val="22"/>
              </w:rPr>
              <w:t>地方真正面對的是完整生活系統，但政府資源依部會切割。工具箱應協助地方把完整問題轉譯為可組合的政策工具，而不是再增加一張檢核表。</w:t>
            </w:r>
          </w:p>
        </w:tc>
      </w:tr>
    </w:tbl>
    <w:p>
      <w:pPr>
        <w:spacing w:after="0"/>
      </w:pPr>
    </w:p>
    <w:p>
      <w:pPr>
        <w:pStyle w:val="Heading1"/>
      </w:pPr>
      <w:r>
        <w:t>七、70分鐘討論的實際操作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158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1F4D78"/>
                <w:sz w:val="18"/>
              </w:rPr>
              <w:t>時間</w:t>
            </w:r>
          </w:p>
        </w:tc>
        <w:tc>
          <w:tcPr>
            <w:tcW w:type="dxa" w:w="388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1F4D78"/>
                <w:sz w:val="18"/>
              </w:rPr>
              <w:t>任務</w:t>
            </w:r>
          </w:p>
        </w:tc>
        <w:tc>
          <w:tcPr>
            <w:tcW w:type="dxa" w:w="388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1F4D78"/>
                <w:sz w:val="18"/>
              </w:rPr>
              <w:t>預期產出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222222"/>
                <w:sz w:val="18"/>
              </w:rPr>
              <w:t>0–10分鐘</w:t>
            </w:r>
          </w:p>
        </w:tc>
        <w:tc>
          <w:tcPr>
            <w:tcW w:type="dxa" w:w="388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STHeiti" w:hAnsi="STHeiti" w:eastAsia="STHeiti"/>
                <w:b w:val="0"/>
                <w:color w:val="222222"/>
                <w:sz w:val="18"/>
              </w:rPr>
              <w:t>成員與政策資源快速盤點</w:t>
            </w:r>
          </w:p>
        </w:tc>
        <w:tc>
          <w:tcPr>
            <w:tcW w:type="dxa" w:w="388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STHeiti" w:hAnsi="STHeiti" w:eastAsia="STHeiti"/>
                <w:b w:val="0"/>
                <w:color w:val="222222"/>
                <w:sz w:val="18"/>
              </w:rPr>
              <w:t>資源名稱、服務對象、政策目的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222222"/>
                <w:sz w:val="18"/>
              </w:rPr>
              <w:t>10–30分鐘</w:t>
            </w:r>
          </w:p>
        </w:tc>
        <w:tc>
          <w:tcPr>
            <w:tcW w:type="dxa" w:w="388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STHeiti" w:hAnsi="STHeiti" w:eastAsia="STHeiti"/>
                <w:b w:val="0"/>
                <w:color w:val="222222"/>
                <w:sz w:val="18"/>
              </w:rPr>
              <w:t>整理推動挑戰並合併相似問題</w:t>
            </w:r>
          </w:p>
        </w:tc>
        <w:tc>
          <w:tcPr>
            <w:tcW w:type="dxa" w:w="388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STHeiti" w:hAnsi="STHeiti" w:eastAsia="STHeiti"/>
                <w:b w:val="0"/>
                <w:color w:val="222222"/>
                <w:sz w:val="18"/>
              </w:rPr>
              <w:t>3–5個制度斷點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222222"/>
                <w:sz w:val="18"/>
              </w:rPr>
              <w:t>30–50分鐘</w:t>
            </w:r>
          </w:p>
        </w:tc>
        <w:tc>
          <w:tcPr>
            <w:tcW w:type="dxa" w:w="388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STHeiti" w:hAnsi="STHeiti" w:eastAsia="STHeiti"/>
                <w:b w:val="0"/>
                <w:color w:val="222222"/>
                <w:sz w:val="18"/>
              </w:rPr>
              <w:t>用六面向及四能力重新分析</w:t>
            </w:r>
          </w:p>
        </w:tc>
        <w:tc>
          <w:tcPr>
            <w:tcW w:type="dxa" w:w="388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STHeiti" w:hAnsi="STHeiti" w:eastAsia="STHeiti"/>
                <w:b w:val="0"/>
                <w:color w:val="222222"/>
                <w:sz w:val="18"/>
              </w:rPr>
              <w:t>每個斷點缺少的韌性能力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222222"/>
                <w:sz w:val="18"/>
              </w:rPr>
              <w:t>50–65分鐘</w:t>
            </w:r>
          </w:p>
        </w:tc>
        <w:tc>
          <w:tcPr>
            <w:tcW w:type="dxa" w:w="388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STHeiti" w:hAnsi="STHeiti" w:eastAsia="STHeiti"/>
                <w:b w:val="0"/>
                <w:color w:val="222222"/>
                <w:sz w:val="18"/>
              </w:rPr>
              <w:t>形成具體政策建議</w:t>
            </w:r>
          </w:p>
        </w:tc>
        <w:tc>
          <w:tcPr>
            <w:tcW w:type="dxa" w:w="388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STHeiti" w:hAnsi="STHeiti" w:eastAsia="STHeiti"/>
                <w:b w:val="0"/>
                <w:color w:val="222222"/>
                <w:sz w:val="18"/>
              </w:rPr>
              <w:t>3項可執行改善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222222"/>
                <w:sz w:val="18"/>
              </w:rPr>
              <w:t>65–70分鐘</w:t>
            </w:r>
          </w:p>
        </w:tc>
        <w:tc>
          <w:tcPr>
            <w:tcW w:type="dxa" w:w="388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STHeiti" w:hAnsi="STHeiti" w:eastAsia="STHeiti"/>
                <w:b w:val="0"/>
                <w:color w:val="222222"/>
                <w:sz w:val="18"/>
              </w:rPr>
              <w:t>確認發表主軸與分工</w:t>
            </w:r>
          </w:p>
        </w:tc>
        <w:tc>
          <w:tcPr>
            <w:tcW w:type="dxa" w:w="388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STHeiti" w:hAnsi="STHeiti" w:eastAsia="STHeiti"/>
                <w:b w:val="0"/>
                <w:color w:val="222222"/>
                <w:sz w:val="18"/>
              </w:rPr>
              <w:t>7分鐘報告骨架</w:t>
            </w:r>
          </w:p>
        </w:tc>
      </w:tr>
    </w:tbl>
    <w:p>
      <w:pPr>
        <w:spacing w:after="0"/>
      </w:pPr>
    </w:p>
    <w:p>
      <w:pPr>
        <w:pStyle w:val="Heading2"/>
      </w:pPr>
      <w:r>
        <w:t>你可以協助小組使用的四欄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08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1F4D78"/>
                <w:sz w:val="18"/>
              </w:rPr>
              <w:t>現有資源</w:t>
            </w:r>
          </w:p>
        </w:tc>
        <w:tc>
          <w:tcPr>
            <w:tcW w:type="dxa" w:w="252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1F4D78"/>
                <w:sz w:val="18"/>
              </w:rPr>
              <w:t>推動挑戰</w:t>
            </w:r>
          </w:p>
        </w:tc>
        <w:tc>
          <w:tcPr>
            <w:tcW w:type="dxa" w:w="208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1F4D78"/>
                <w:sz w:val="18"/>
              </w:rPr>
              <w:t>受影響的韌性</w:t>
            </w:r>
          </w:p>
        </w:tc>
        <w:tc>
          <w:tcPr>
            <w:tcW w:type="dxa" w:w="266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1F4D78"/>
                <w:sz w:val="18"/>
              </w:rPr>
              <w:t>政策改善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222222"/>
                <w:sz w:val="18"/>
              </w:rPr>
              <w:t>補助／政策工具</w:t>
            </w:r>
          </w:p>
        </w:tc>
        <w:tc>
          <w:tcPr>
            <w:tcW w:type="dxa" w:w="252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STHeiti" w:hAnsi="STHeiti" w:eastAsia="STHeiti"/>
                <w:b w:val="0"/>
                <w:color w:val="222222"/>
                <w:sz w:val="18"/>
              </w:rPr>
              <w:t>資格、期程、KPI、核銷或權責斷點</w:t>
            </w:r>
          </w:p>
        </w:tc>
        <w:tc>
          <w:tcPr>
            <w:tcW w:type="dxa" w:w="208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STHeiti" w:hAnsi="STHeiti" w:eastAsia="STHeiti"/>
                <w:b w:val="0"/>
                <w:color w:val="222222"/>
                <w:sz w:val="18"/>
              </w:rPr>
              <w:t>六面向＋四能力</w:t>
            </w:r>
          </w:p>
        </w:tc>
        <w:tc>
          <w:tcPr>
            <w:tcW w:type="dxa" w:w="266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STHeiti" w:hAnsi="STHeiti" w:eastAsia="STHeiti"/>
                <w:b w:val="0"/>
                <w:color w:val="222222"/>
                <w:sz w:val="18"/>
              </w:rPr>
              <w:t>整合窗口、共同指標、資源組合或長期機制</w:t>
            </w:r>
          </w:p>
        </w:tc>
      </w:tr>
    </w:tbl>
    <w:p>
      <w:pPr>
        <w:spacing w:after="0"/>
      </w:pPr>
    </w:p>
    <w:p>
      <w:pPr>
        <w:pStyle w:val="Heading1"/>
      </w:pPr>
      <w:r>
        <w:t>八、7分鐘小組發表骨架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151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1F4D78"/>
                <w:sz w:val="18"/>
              </w:rPr>
              <w:t>時間</w:t>
            </w:r>
          </w:p>
        </w:tc>
        <w:tc>
          <w:tcPr>
            <w:tcW w:type="dxa" w:w="237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1F4D78"/>
                <w:sz w:val="18"/>
              </w:rPr>
              <w:t>內容</w:t>
            </w:r>
          </w:p>
        </w:tc>
        <w:tc>
          <w:tcPr>
            <w:tcW w:type="dxa" w:w="547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/>
                <w:color w:val="1F4D78"/>
                <w:sz w:val="18"/>
              </w:rPr>
              <w:t>說法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222222"/>
                <w:sz w:val="18"/>
              </w:rPr>
              <w:t>1分鐘</w:t>
            </w:r>
          </w:p>
        </w:tc>
        <w:tc>
          <w:tcPr>
            <w:tcW w:type="dxa" w:w="237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STHeiti" w:hAnsi="STHeiti" w:eastAsia="STHeiti"/>
                <w:b w:val="0"/>
                <w:color w:val="222222"/>
                <w:sz w:val="18"/>
              </w:rPr>
              <w:t>政策資源輪廓</w:t>
            </w:r>
          </w:p>
        </w:tc>
        <w:tc>
          <w:tcPr>
            <w:tcW w:type="dxa" w:w="547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STHeiti" w:hAnsi="STHeiti" w:eastAsia="STHeiti"/>
                <w:b w:val="0"/>
                <w:color w:val="222222"/>
                <w:sz w:val="18"/>
              </w:rPr>
              <w:t>本組看到的不是單一計畫，而是若干互補但尚未銜接的工具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222222"/>
                <w:sz w:val="18"/>
              </w:rPr>
              <w:t>2分鐘</w:t>
            </w:r>
          </w:p>
        </w:tc>
        <w:tc>
          <w:tcPr>
            <w:tcW w:type="dxa" w:w="237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STHeiti" w:hAnsi="STHeiti" w:eastAsia="STHeiti"/>
                <w:b w:val="0"/>
                <w:color w:val="222222"/>
                <w:sz w:val="18"/>
              </w:rPr>
              <w:t>三個主要挑戰</w:t>
            </w:r>
          </w:p>
        </w:tc>
        <w:tc>
          <w:tcPr>
            <w:tcW w:type="dxa" w:w="547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STHeiti" w:hAnsi="STHeiti" w:eastAsia="STHeiti"/>
                <w:b w:val="0"/>
                <w:color w:val="222222"/>
                <w:sz w:val="18"/>
              </w:rPr>
              <w:t>用地方情境說明制度斷點，不只列行政抱怨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222222"/>
                <w:sz w:val="18"/>
              </w:rPr>
              <w:t>2分鐘</w:t>
            </w:r>
          </w:p>
        </w:tc>
        <w:tc>
          <w:tcPr>
            <w:tcW w:type="dxa" w:w="237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STHeiti" w:hAnsi="STHeiti" w:eastAsia="STHeiti"/>
                <w:b w:val="0"/>
                <w:color w:val="222222"/>
                <w:sz w:val="18"/>
              </w:rPr>
              <w:t>韌性架構的重新判讀</w:t>
            </w:r>
          </w:p>
        </w:tc>
        <w:tc>
          <w:tcPr>
            <w:tcW w:type="dxa" w:w="547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STHeiti" w:hAnsi="STHeiti" w:eastAsia="STHeiti"/>
                <w:b w:val="0"/>
                <w:color w:val="222222"/>
                <w:sz w:val="18"/>
              </w:rPr>
              <w:t>說明缺的是哪個面向及哪種能力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222222"/>
                <w:sz w:val="18"/>
              </w:rPr>
              <w:t>1.5分鐘</w:t>
            </w:r>
          </w:p>
        </w:tc>
        <w:tc>
          <w:tcPr>
            <w:tcW w:type="dxa" w:w="237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STHeiti" w:hAnsi="STHeiti" w:eastAsia="STHeiti"/>
                <w:b w:val="0"/>
                <w:color w:val="222222"/>
                <w:sz w:val="18"/>
              </w:rPr>
              <w:t>三項政策建議</w:t>
            </w:r>
          </w:p>
        </w:tc>
        <w:tc>
          <w:tcPr>
            <w:tcW w:type="dxa" w:w="547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STHeiti" w:hAnsi="STHeiti" w:eastAsia="STHeiti"/>
                <w:b w:val="0"/>
                <w:color w:val="222222"/>
                <w:sz w:val="18"/>
              </w:rPr>
              <w:t>每項包含誰負責、改什麼、如何驗證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222222"/>
                <w:sz w:val="18"/>
              </w:rPr>
              <w:t>0.5分鐘</w:t>
            </w:r>
          </w:p>
        </w:tc>
        <w:tc>
          <w:tcPr>
            <w:tcW w:type="dxa" w:w="237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STHeiti" w:hAnsi="STHeiti" w:eastAsia="STHeiti"/>
                <w:b w:val="0"/>
                <w:color w:val="222222"/>
                <w:sz w:val="18"/>
              </w:rPr>
              <w:t>結論</w:t>
            </w:r>
          </w:p>
        </w:tc>
        <w:tc>
          <w:tcPr>
            <w:tcW w:type="dxa" w:w="547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STHeiti" w:hAnsi="STHeiti" w:eastAsia="STHeiti"/>
                <w:b w:val="0"/>
                <w:color w:val="222222"/>
                <w:sz w:val="18"/>
              </w:rPr>
              <w:t>韌性不是新標籤，而是檢查政策能否讓地方持續運作的框架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0" w:line="288" w:lineRule="auto"/>
            </w:pPr>
            <w:r/>
            <w:r>
              <w:rPr>
                <w:rFonts w:ascii="STHeiti" w:hAnsi="STHeiti" w:eastAsia="STHeiti"/>
                <w:b/>
                <w:color w:val="1F4D78"/>
                <w:sz w:val="22"/>
              </w:rPr>
              <w:t>小組結論句｜</w:t>
            </w:r>
            <w:r>
              <w:rPr>
                <w:rFonts w:ascii="STHeiti" w:hAnsi="STHeiti" w:eastAsia="STHeiti"/>
                <w:b w:val="0"/>
                <w:color w:val="222222"/>
                <w:sz w:val="22"/>
              </w:rPr>
              <w:t>地方韌性的價值，不是替既有補助換一個名稱，而是重新檢查：現有政策能否讓地方在資源、人才或環境改變時，仍然維持、調整並形成新的發展能力。</w:t>
            </w:r>
          </w:p>
        </w:tc>
      </w:tr>
    </w:tbl>
    <w:p>
      <w:pPr>
        <w:spacing w:after="0"/>
      </w:pPr>
    </w:p>
    <w:p>
      <w:pPr>
        <w:pStyle w:val="Heading1"/>
      </w:pPr>
      <w:r>
        <w:t>九、可直接使用的發言</w:t>
      </w:r>
    </w:p>
    <w:p>
      <w:pPr>
        <w:pStyle w:val="Heading2"/>
      </w:pPr>
      <w:r>
        <w:t>60秒自我介紹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0" w:line="288" w:lineRule="auto"/>
            </w:pPr>
            <w:r/>
            <w:r>
              <w:rPr>
                <w:rFonts w:ascii="STHeiti" w:hAnsi="STHeiti" w:eastAsia="STHeiti"/>
                <w:b/>
                <w:color w:val="1F4D78"/>
                <w:sz w:val="22"/>
              </w:rPr>
              <w:t>口語稿｜</w:t>
            </w:r>
            <w:r>
              <w:rPr>
                <w:rFonts w:ascii="STHeiti" w:hAnsi="STHeiti" w:eastAsia="STHeiti"/>
                <w:b w:val="0"/>
                <w:color w:val="222222"/>
                <w:sz w:val="22"/>
              </w:rPr>
              <w:t>我長期參與政府委辦、地方創生輔導、公有空間活化及地方團隊陪伴。我的觀察是，地方通常不缺創意，也不一定缺補助資訊，真正欠缺的是把完整需求轉譯成跨部會可以共同承接的行動架構。地方韌性不只是災後恢復，而是當補助、人員、市場或環境改變時，地方仍能維持運作、調整方法並形成下一條路。我今天特別想討論的是，工具箱如何協助地方組合資源，而不是再增加一套申請表格。</w:t>
            </w:r>
          </w:p>
        </w:tc>
      </w:tr>
    </w:tbl>
    <w:p>
      <w:pPr>
        <w:spacing w:after="0"/>
      </w:pPr>
    </w:p>
    <w:p>
      <w:pPr>
        <w:pStyle w:val="Heading2"/>
      </w:pPr>
      <w:r>
        <w:t>三個優先問題</w:t>
      </w:r>
    </w:p>
    <w:p>
      <w:pPr>
        <w:pStyle w:val="ListNumber"/>
      </w:pPr>
      <w:r>
        <w:rPr>
          <w:rFonts w:ascii="STHeiti" w:hAnsi="STHeiti" w:eastAsia="STHeiti"/>
          <w:b w:val="0"/>
          <w:color w:val="222222"/>
          <w:sz w:val="22"/>
        </w:rPr>
        <w:t>工具箱診斷出跨部會問題後，誰負責把結果轉成實際資源組合？</w:t>
      </w:r>
    </w:p>
    <w:p>
      <w:pPr>
        <w:pStyle w:val="ListNumber"/>
      </w:pPr>
      <w:r>
        <w:rPr>
          <w:rFonts w:ascii="STHeiti" w:hAnsi="STHeiti" w:eastAsia="STHeiti"/>
          <w:b w:val="0"/>
          <w:color w:val="222222"/>
          <w:sz w:val="22"/>
        </w:rPr>
        <w:t>共同指標如何保留地方差異，避免韌性變成另一套統一KPI？</w:t>
      </w:r>
    </w:p>
    <w:p>
      <w:pPr>
        <w:pStyle w:val="ListNumber"/>
      </w:pPr>
      <w:r>
        <w:rPr>
          <w:rFonts w:ascii="STHeiti" w:hAnsi="STHeiti" w:eastAsia="STHeiti"/>
          <w:b w:val="0"/>
          <w:color w:val="222222"/>
          <w:sz w:val="22"/>
        </w:rPr>
        <w:t>如果補助結束後，人力、空間與服務無法維持，是否代表原計畫沒有真正提升韌性？</w:t>
      </w:r>
    </w:p>
    <w:p>
      <w:pPr>
        <w:pStyle w:val="Heading2"/>
      </w:pPr>
      <w:r>
        <w:t>必要時協助全桌收斂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0" w:line="288" w:lineRule="auto"/>
            </w:pPr>
            <w:r/>
            <w:r>
              <w:rPr>
                <w:rFonts w:ascii="STHeiti" w:hAnsi="STHeiti" w:eastAsia="STHeiti"/>
                <w:b/>
                <w:color w:val="1F4D78"/>
                <w:sz w:val="22"/>
              </w:rPr>
              <w:t>收斂句｜</w:t>
            </w:r>
            <w:r>
              <w:rPr>
                <w:rFonts w:ascii="STHeiti" w:hAnsi="STHeiti" w:eastAsia="STHeiti"/>
                <w:b w:val="0"/>
                <w:color w:val="222222"/>
                <w:sz w:val="22"/>
              </w:rPr>
              <w:t>我們可以把討論分成三層：地方承受什麼壓力、現有政策在哪裡接不住、韌性架構要求政策增加什麼能力。這樣就不會只停在補助名稱盤點。</w:t>
            </w:r>
          </w:p>
        </w:tc>
      </w:tr>
    </w:tbl>
    <w:p>
      <w:pPr>
        <w:spacing w:after="0"/>
      </w:pPr>
    </w:p>
    <w:p>
      <w:pPr>
        <w:pStyle w:val="Heading1"/>
      </w:pPr>
      <w:r>
        <w:t>十、會前最後檢查</w:t>
      </w:r>
    </w:p>
    <w:p>
      <w:pPr>
        <w:pStyle w:val="ListBullet"/>
      </w:pPr>
      <w:r>
        <w:rPr>
          <w:rFonts w:ascii="STHeiti" w:hAnsi="STHeiti" w:eastAsia="STHeiti"/>
          <w:b w:val="0"/>
          <w:color w:val="222222"/>
          <w:sz w:val="22"/>
        </w:rPr>
        <w:t>□ 確認行前讀物、工具箱與活動地點。</w:t>
      </w:r>
    </w:p>
    <w:p>
      <w:pPr>
        <w:pStyle w:val="ListBullet"/>
      </w:pPr>
      <w:r>
        <w:rPr>
          <w:rFonts w:ascii="STHeiti" w:hAnsi="STHeiti" w:eastAsia="STHeiti"/>
          <w:b w:val="0"/>
          <w:color w:val="222222"/>
          <w:sz w:val="22"/>
        </w:rPr>
        <w:t>□ 準備一個公有空間活化或地方團隊案例。</w:t>
      </w:r>
    </w:p>
    <w:p>
      <w:pPr>
        <w:pStyle w:val="ListBullet"/>
      </w:pPr>
      <w:r>
        <w:rPr>
          <w:rFonts w:ascii="STHeiti" w:hAnsi="STHeiti" w:eastAsia="STHeiti"/>
          <w:b w:val="0"/>
          <w:color w:val="222222"/>
          <w:sz w:val="22"/>
        </w:rPr>
        <w:t>□ 記住三個制度斷點：資源切割、短期KPI、結案後難延續。</w:t>
      </w:r>
    </w:p>
    <w:p>
      <w:pPr>
        <w:pStyle w:val="ListBullet"/>
      </w:pPr>
      <w:r>
        <w:rPr>
          <w:rFonts w:ascii="STHeiti" w:hAnsi="STHeiti" w:eastAsia="STHeiti"/>
          <w:b w:val="0"/>
          <w:color w:val="222222"/>
          <w:sz w:val="22"/>
        </w:rPr>
        <w:t>□ 選定三項建議：整合窗口、共同成果架構、分階段長期支持。</w:t>
      </w:r>
    </w:p>
    <w:p>
      <w:pPr>
        <w:pStyle w:val="ListBullet"/>
      </w:pPr>
      <w:r>
        <w:rPr>
          <w:rFonts w:ascii="STHeiti" w:hAnsi="STHeiti" w:eastAsia="STHeiti"/>
          <w:b w:val="0"/>
          <w:color w:val="222222"/>
          <w:sz w:val="22"/>
        </w:rPr>
        <w:t>□ 複習60秒自介及三個優先問題。</w:t>
      </w:r>
    </w:p>
    <w:p>
      <w:pPr>
        <w:pStyle w:val="ListBullet"/>
      </w:pPr>
      <w:r>
        <w:rPr>
          <w:rFonts w:ascii="STHeiti" w:hAnsi="STHeiti" w:eastAsia="STHeiti"/>
          <w:b w:val="0"/>
          <w:color w:val="222222"/>
          <w:sz w:val="22"/>
        </w:rPr>
        <w:t>□ 現場記錄各部會真正願意調整的事項、分歧與後續聯繫人。</w:t>
      </w:r>
    </w:p>
    <w:p>
      <w:pPr>
        <w:pStyle w:val="Heading1"/>
      </w:pPr>
      <w:r>
        <w:t>十一、閱讀來源</w:t>
      </w:r>
    </w:p>
    <w:p>
      <w:r>
        <w:rPr>
          <w:rFonts w:ascii="STHeiti" w:hAnsi="STHeiti" w:eastAsia="STHeiti"/>
          <w:b w:val="0"/>
          <w:color w:val="222222"/>
          <w:sz w:val="22"/>
        </w:rPr>
        <w:t>1. 微笑台灣，〈地方韌性是什麼？為什麼它決定了你家鄉的未來？從六大面向打開自我檢視工具箱〉，2026-06-21。https://smiletaiwan.cw.com.tw/article/9210</w:t>
      </w:r>
    </w:p>
    <w:p>
      <w:r>
        <w:rPr>
          <w:rFonts w:ascii="STHeiti" w:hAnsi="STHeiti" w:eastAsia="STHeiti"/>
          <w:b w:val="0"/>
          <w:color w:val="222222"/>
          <w:sz w:val="22"/>
        </w:rPr>
        <w:t>2. 微笑台灣，〈2026地方韌性數位專輯｜我是全村的希望〉。https://smiletaiwan.cw.com.tw/topics/communityresilience/</w:t>
      </w:r>
    </w:p>
    <w:p>
      <w:r>
        <w:rPr>
          <w:rFonts w:ascii="STHeiti" w:hAnsi="STHeiti" w:eastAsia="STHeiti"/>
          <w:b w:val="0"/>
          <w:color w:val="222222"/>
          <w:sz w:val="22"/>
        </w:rPr>
        <w:t>3. 謝昇佑，〈產值不是唯一指標，釐清地方創生的政策定位，重點在如何讓地方成為具韌性的共同體〉，2025-10-26。https://smiletaiwan.cw.com.tw/article/8599</w:t>
      </w:r>
    </w:p>
    <w:p>
      <w:r>
        <w:rPr>
          <w:rFonts w:ascii="STHeiti" w:hAnsi="STHeiti" w:eastAsia="STHeiti"/>
          <w:b w:val="0"/>
          <w:color w:val="222222"/>
          <w:sz w:val="22"/>
        </w:rPr>
        <w:t>4. 「跨域共創發表會」行前通知與正式議程，2026-07-15。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THeiti" w:hAnsi="STHeiti" w:eastAsia="STHeiti"/>
        <w:b w:val="0"/>
        <w:color w:val="6B7280"/>
        <w:sz w:val="17"/>
      </w:rPr>
      <w:t>2026.07.15｜會前準備與現場發言用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THeiti" w:hAnsi="STHeiti" w:eastAsia="STHeiti"/>
        <w:b w:val="0"/>
        <w:color w:val="6B7280"/>
        <w:sz w:val="17"/>
      </w:rPr>
      <w:t>地方韌性跨域共創發表會｜世界咖啡館準備文本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STHeiti" w:hAnsi="STHeiti" w:eastAsia="STHeit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STHeiti" w:hAnsi="STHeiti" w:eastAsia="STHeit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STHeiti" w:hAnsi="STHeiti" w:eastAsia="STHeit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STHeiti" w:hAnsi="STHeiti" w:eastAsia="STHeit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8" w:lineRule="auto"/>
      <w:contextualSpacing/>
    </w:pPr>
    <w:rPr>
      <w:rFonts w:ascii="STHeiti" w:hAnsi="STHeiti" w:eastAsia="STHeit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8" w:lineRule="auto"/>
      <w:contextualSpacing/>
    </w:pPr>
    <w:rPr>
      <w:rFonts w:ascii="STHeiti" w:hAnsi="STHeiti" w:eastAsia="STHeit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