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 w:line="240" w:lineRule="auto"/>
        <w:rPr>
          <w:rFonts w:ascii="Aptos" w:cs="Aptos" w:hAnsi="Aptos" w:eastAsia="Aptos"/>
          <w:b w:val="1"/>
          <w:bCs w:val="1"/>
          <w:outline w:val="0"/>
          <w:color w:val="c00000"/>
          <w:sz w:val="22"/>
          <w:szCs w:val="22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ca de Caycedo su hija, donzella noble y honesta, a 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que concedielle en su voluntad, y para esto, y violar su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castidad, aver quebrantado su casa, siendo de muy luci-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da nobleza y calidad, entrando en ella denoche a des-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hora con llaves falsas, y otras vezes por las ventanas, y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texados, y otras sacandola de su casa, y llevandola a o-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tras para el mismo efeto, y sintiendola pre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ada dadole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recetas de bevidas para q abortasse. Y sobre todo, avien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do llegado a noticia de do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 Catalina y su marido la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dicha deshonra, y tratando de remedialla con secreto,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el dicho don Antonio por mas injurialles dixo por un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villete al mismo Marco Antonio, que no queria casar-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se con su hija, y que estava arrepentido de auello dicho.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Y ultimamente para impedille el reparo de tantos a-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gravios le quito la vida, passandole de una estocada, de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que murio luego sin consession en la calle.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Y por aver pocos dias que se vio este pleyto, y estar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fresca la memoria de la provan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 de los dichos delitos,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en que no quedo duda, se tratara solamente en este pa-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pel.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Que do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 Catalina es parte legitima para lo que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pide, demas del se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or Fiscal.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Y de la pena que se deve imponer por los dichos de-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litos. 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Y que no son ciertas las escusas con que el reo se pre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tende evadir.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:lang w:val="es-ES_tradnl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Legitimacion de la persona de do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 Catalina.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En primer lugar hizo fuer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 el Abogado contrario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 la vista en querer fundar, que para acusar la muer-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te del marido, se han de preferir los hijos a la viuda, o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alomenos concurrir con ella: y que de aqui infirio, que pues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de los dos hijos que quedaron de Marco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Antonio de 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Caycedo el varon (que esta fuera del Reyno sirviendo a 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:lang w:val="es-ES_tradnl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  <w:rPr>
          <w:rFonts w:ascii="Aptos" w:cs="Aptos" w:hAnsi="Aptos" w:eastAsia="Aptos"/>
          <w:b w:val="1"/>
          <w:bCs w:val="1"/>
          <w:outline w:val="0"/>
          <w:color w:val="c00000"/>
          <w:sz w:val="22"/>
          <w:szCs w:val="22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su Magestad) no ha querellado, y la hembra (que es la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do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 Francisca casada oy con el matador) no le pide,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han de prevalecer a do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 Catalina, q acusa por ser ma-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yor parte.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Pero este discurso repugna a la jurisprudencia, y a la 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resolucion mas assentada que ay en este Reyno.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Lo primero, que la viuda tiene el primer lugar en la 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acusacion de la muerte del marido, y demas agravios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hechos a su casa, sin que los hijos (quando huvieran acu-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sado) puedan concurrir con ella, ni ser parte para remi-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tir la muerte, como lo assientan los Autores q adelante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se citaran, fundadas en la razon de que el derecho de </w:t>
      </w:r>
    </w:p>
    <w:p>
      <w:pPr>
        <w:pStyle w:val="Body"/>
        <w:spacing w:after="0" w:line="240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acusar la muerte, non est quid haereditarium, I. pro haere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de, </w:t>
      </w:r>
      <w:r>
        <w:rPr>
          <w:sz w:val="22"/>
          <w:szCs w:val="22"/>
          <w:rtl w:val="0"/>
          <w:lang w:val="es-ES_tradnl"/>
        </w:rPr>
        <w:t>§</w:t>
      </w:r>
      <w:r>
        <w:rPr>
          <w:sz w:val="22"/>
          <w:szCs w:val="22"/>
          <w:rtl w:val="0"/>
          <w:lang w:val="es-ES_tradnl"/>
        </w:rPr>
        <w:t>, sin, ff, de acquiren. haered. &amp; sic, la muger aunque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no sea heredera de su marido, se prefiere en la acusacion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de su muerte a los hijos, y a todos los demas consangui-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neos porque como por el matrimonio se hizieron am-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bos una misma carne y sangre, no ay persona mas con-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junta que ella, &amp; sunevnares, &amp; vnum fuppofitum, c.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gaudemus de divorcijs, iuxtra illud Pauli, erunt duo in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carne una, itaque iam non sune duo, fedunacaro, &amp; ita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nulla maior unio, quam coniugalis, nam ius divinum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consistit in veritate, &amp; non infictione, &amp; est focia vi-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vinae, &amp; humana domus, I. aduersus, C. de crimine ex-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pil. heredit. &amp; matrimonium durare dicitur vno eorum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 xml:space="preserve">superstite, authent, nec virum quod ex dore, </w:t>
      </w:r>
      <w:r>
        <w:rPr>
          <w:sz w:val="22"/>
          <w:szCs w:val="22"/>
          <w:rtl w:val="0"/>
          <w:lang w:val="es-ES_tradnl"/>
        </w:rPr>
        <w:t>§</w:t>
      </w:r>
      <w:r>
        <w:rPr>
          <w:sz w:val="22"/>
          <w:szCs w:val="22"/>
          <w:rtl w:val="0"/>
          <w:lang w:val="es-ES_tradnl"/>
        </w:rPr>
        <w:t>. nuptiali-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bus, collat. 8. Y assi vemos, que los privilegios concedi-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 xml:space="preserve">dos al marido, quantoquiera que sean personalissimos, 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como el del fuero, y otros que se dan a la persona, ratio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ne officij, vel alias, los goza la muger, y no los hijos, I.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mulieres, C. de dignitatibus lib. ro. Y en la viuda q vie-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 xml:space="preserve">ne a quedar sola y desamparada, por faltalle la mitad 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de su persona, se considera mayor interes y da</w:t>
      </w:r>
      <w:r>
        <w:rPr>
          <w:sz w:val="22"/>
          <w:szCs w:val="22"/>
          <w:rtl w:val="0"/>
          <w:lang w:val="es-ES_tradnl"/>
        </w:rPr>
        <w:t>ñ</w:t>
      </w:r>
      <w:r>
        <w:rPr>
          <w:sz w:val="22"/>
          <w:szCs w:val="22"/>
          <w:rtl w:val="0"/>
          <w:lang w:val="es-ES_tradnl"/>
        </w:rPr>
        <w:t>o en la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 xml:space="preserve">muerte de su marido, que es la inspreccion que hizo el </w:t>
      </w:r>
    </w:p>
    <w:p>
      <w:pPr>
        <w:pStyle w:val="Body"/>
        <w:spacing w:after="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derecho, aun en terminos de concurso de acusadores,</w:t>
      </w:r>
    </w:p>
    <w:p>
      <w:pPr>
        <w:pStyle w:val="Body"/>
        <w:spacing w:after="0" w:line="240" w:lineRule="auto"/>
      </w:pPr>
      <w:r>
        <w:rPr>
          <w:sz w:val="22"/>
          <w:szCs w:val="22"/>
          <w:lang w:val="es-ES_tradnl"/>
        </w:rPr>
      </w:r>
    </w:p>
    <w:sectPr>
      <w:headerReference w:type="default" r:id="rId4"/>
      <w:footerReference w:type="default" r:id="rId5"/>
      <w:pgSz w:w="12240" w:h="15840" w:orient="portrait"/>
      <w:pgMar w:top="1440" w:right="1080" w:bottom="1440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