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14</w:t>
        <w:tab/>
        <w:t>Otra carta de pago otorgada ante el dicho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Escriuano, en 19. de Enero de 1640. por Iacinto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/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Gomez, en que confiessa auer recibido de su padre 9</w:t>
      </w:r>
      <w:r>
        <w:rPr>
          <w:rFonts w:eastAsia="Helvetica" w:cs="Helvetica" w:ascii="Helvetica" w:hAnsi="Helvetica"/>
          <w:color w:val="000000"/>
          <w:spacing w:val="0"/>
          <w:sz w:val="24"/>
          <w:szCs w:val="24"/>
          <w:shd w:fill="00FFFF" w:val="clear"/>
        </w:rPr>
        <w:t>?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333. reales, que le tocan, como a vno de tres here-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deros de doña Beatriz de Silua su madre de su par-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te, de la dote que lleuó al matrimonio. Y ratifica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las dos cartas de pago, que antes desta tenia otor-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gadas, y dize, aquellas son por cuenta de las demas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pretensiones que tiene; y declara, que con estas can-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tidades, se da por pagado de la dote, y bienes ganan-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ciales, y demas pretenciones que pueda tener, por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quanto importa mas que ellas la hazienda que ha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gastado a su padre, y por ser menor de veinte y cin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co años jura la relacion de esta escritura, y estar, y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passar por ella.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15</w:t>
        <w:tab/>
        <w:t>Otra escritura otorgada en 18. de Octu-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bre de 1644. en esta Villa, ante Iuan Bautista San-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chez Brauo Escriuano, por Iacinto Gomez Pimen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tel, en que declara, que es mayor de 25. años, y que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siendo menor otorgó en fauor de su padre dos car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/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tas de pago, que montan 32</w:t>
      </w:r>
      <w:r>
        <w:rPr>
          <w:rFonts w:eastAsia="Helvetica" w:cs="Helvetica" w:ascii="Helvetica" w:hAnsi="Helvetica"/>
          <w:color w:val="000000"/>
          <w:spacing w:val="0"/>
          <w:sz w:val="24"/>
          <w:szCs w:val="24"/>
          <w:shd w:fill="00FFFF" w:val="clear"/>
        </w:rPr>
        <w:t>?</w:t>
      </w: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646 reales, por cuen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 xml:space="preserve">ta de la parte que le toca de bienes gananciales, y 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arras de su madre, á mayor abundamiento las aprue-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ua, y ratifica. Y ansimismo declara, que tiene otor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/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gada otra carta de pago de 9</w:t>
      </w:r>
      <w:r>
        <w:rPr>
          <w:rFonts w:eastAsia="Helvetica" w:cs="Helvetica" w:ascii="Helvetica" w:hAnsi="Helvetica"/>
          <w:color w:val="000000"/>
          <w:spacing w:val="0"/>
          <w:sz w:val="24"/>
          <w:szCs w:val="24"/>
          <w:shd w:fill="00FFFF" w:val="clear"/>
        </w:rPr>
        <w:t>?</w:t>
      </w: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333. reales, por la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parte que le toca de la dote de su madre, y tambien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la ratifica: y dize, que de los diez y seis mil setecien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tos setenta y dos reales que montó la tienda que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/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le entregó su padre, le ha perdonado los 8</w:t>
      </w:r>
      <w:r>
        <w:rPr>
          <w:rFonts w:eastAsia="Helvetica" w:cs="Helvetica" w:ascii="Helvetica" w:hAnsi="Helvetica"/>
          <w:color w:val="000000"/>
          <w:spacing w:val="0"/>
          <w:sz w:val="24"/>
          <w:szCs w:val="24"/>
          <w:shd w:fill="00FFFF" w:val="clear"/>
        </w:rPr>
        <w:t>?</w:t>
      </w: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672.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teales el dicho su padre, y que assi declara tiene re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/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cibido por cuenta de su legitima 8</w:t>
      </w:r>
      <w:r>
        <w:rPr>
          <w:rFonts w:eastAsia="Helvetica" w:cs="Helvetica" w:ascii="Helvetica" w:hAnsi="Helvetica"/>
          <w:color w:val="000000"/>
          <w:spacing w:val="0"/>
          <w:sz w:val="24"/>
          <w:szCs w:val="24"/>
          <w:shd w:fill="00FFFF" w:val="clear"/>
        </w:rPr>
        <w:t>?</w:t>
      </w: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000. reales por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el valor de la dicha tienda. Y nueuamente confies-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sa auer recibido del dicho su padre, otros 75?00.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reales mas, en dos partidas, y dellos le otorga car-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ta de pago.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Helvetica">
    <w:altName w:val="Arial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erif CN" w:cs="Noto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Source Han Serif CN" w:cs="Noto Sans"/>
      <w:color w:val="auto"/>
      <w:kern w:val="2"/>
      <w:sz w:val="24"/>
      <w:szCs w:val="24"/>
      <w:lang w:val="en-US" w:eastAsia="zh-CN" w:bidi="hi-IN"/>
    </w:rPr>
  </w:style>
  <w:style w:type="character" w:styleId="FootnoteSymbol">
    <w:name w:val="Footnote_Symbol"/>
    <w:qFormat/>
    <w:rPr>
      <w:vertAlign w:val="superscript"/>
    </w:rPr>
  </w:style>
  <w:style w:type="character" w:styleId="EndnoteSymbol">
    <w:name w:val="Endnote_Symbol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otnoteAnchor">
    <w:name w:val="Footnote Anchor"/>
    <w:qFormat/>
    <w:rPr>
      <w:vertAlign w:val="superscript"/>
    </w:rPr>
  </w:style>
  <w:style w:type="character" w:styleId="EndnoteAnchor">
    <w:name w:val="Endnote Anchor"/>
    <w:qFormat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/>
    <w:rPr/>
  </w:style>
  <w:style w:type="paragraph" w:styleId="Index">
    <w:name w:val="Index"/>
    <w:basedOn w:val="Normal"/>
    <w:qFormat/>
    <w:pPr/>
    <w:rPr/>
  </w:style>
  <w:style w:type="paragraph" w:styleId="TextBody">
    <w:name w:val="Text Body"/>
    <w:basedOn w:val="Normal"/>
    <w:qFormat/>
    <w:pPr/>
    <w:rPr/>
  </w:style>
  <w:style w:type="paragraph" w:styleId="TableContents">
    <w:name w:val="Table Contents"/>
    <w:basedOn w:val="TextBody"/>
    <w:qFormat/>
    <w:pPr/>
    <w:rPr/>
  </w:style>
  <w:style w:type="paragraph" w:styleId="TableHeading">
    <w:name w:val="Table Heading"/>
    <w:basedOn w:val="TableContents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FootnoteText">
    <w:name w:val="footnote text"/>
    <w:basedOn w:val="Normal"/>
    <w:pPr/>
    <w:rPr/>
  </w:style>
  <w:style w:type="paragraph" w:styleId="EndnoteText">
    <w:name w:val="endnote text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