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caer e incurrir en las penas contenidas en la dicha pragmatica e leyes de nuestros Reynos. Y mandamos que durante el di- cho tiempo persona alguna sin vuestra li- cencia no lo pueda imprimir ni vender so pena que el que lo imprimiere aya perdido y pierda todos y qualesquier libros, mol- des y aparejos que de los dichos libros tu viere, y mas incurra en pena de cinquenta mil maravedis por cada vez aue lo contra- rio hiziere, la qual dicha pena sea la tercia parte para el juez que lo sentenciare, y la  otra tercia parte para la persona que lo denunciare, y la otra tercia parte para la  nuestra camara. Y mandamos a los del nue stro Consejo Presidentes y Oydores de las nras Audiencias Alcaldes, alguaziles de la nuestra casa, Corte chancillerias, y a todos los Corregidores, Assistente, Governado- res, Alcaldes mayores y ordinarios, y otros  juezes y justicias qualesquier de todas las  ciudades, villas y lugares de los nros Rey- nos y Señorios, ansi a los q agora son, co- mo a los que seran de aquí adelante q vos guarden y cumplan esta nuestra cedula y merced que ansi vos hazemos, y contra el tenor y forma della, y de lo en ella conte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