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SmartSearch Reranker Evaluation</w:t>
      </w:r>
    </w:p>
    <w:p>
      <w:r>
        <w:rPr>
          <w:b w:val="0"/>
          <w:i/>
          <w:sz w:val="24"/>
        </w:rPr>
        <w:t>Text-Variant A/B Experiments on Anvil (H100) — Summary of Runs, Infrastructure Findings, and Results</w:t>
      </w:r>
    </w:p>
    <w:p>
      <w:r>
        <w:rPr>
          <w:b w:val="0"/>
          <w:i w:val="0"/>
          <w:sz w:val="19"/>
        </w:rPr>
        <w:t>cyberfaces_rag · branch local-test · 2026-08-25</w:t>
      </w:r>
    </w:p>
    <w:p/>
    <w:p>
      <w:pPr>
        <w:pStyle w:val="Heading1"/>
      </w:pPr>
      <w:r>
        <w:rPr>
          <w:color w:val="1F3864"/>
        </w:rPr>
        <w:t>1. Background</w:t>
      </w:r>
    </w:p>
    <w:p>
      <w:r>
        <w:rPr>
          <w:b w:val="0"/>
          <w:i w:val="0"/>
          <w:sz w:val="21"/>
        </w:rPr>
        <w:t>SmartSearch is a two-stage course search engine (hybrid semantic + BM25 retrieval, followed by reranking via conditional RRF, a cross-encoder, or an LLM). Prior analysis (SMARTSEARCH_HANDOFF.md) found that the cross-encoder and LLM rerankers classify substantially worse than conditional RRF — not on recall, but on precision/specificity: they over-admit roughly 2× as many false positives. The leading hypothesis for a contributing (secondary) cause was document text formatting — specifically the “|” separator injected between title and description (title = “X|Y” instead of prose).</w:t>
      </w:r>
    </w:p>
    <w:p>
      <w:r>
        <w:rPr>
          <w:b w:val="0"/>
          <w:i w:val="0"/>
          <w:sz w:val="21"/>
        </w:rPr>
        <w:t>This report summarizes a series of A/B experiments run on Purdue's Anvil research cluster to test that hypothesis, plus the infrastructure debugging that was required to get a usable GPU run.</w:t>
      </w:r>
    </w:p>
    <w:p>
      <w:pPr>
        <w:pStyle w:val="Heading1"/>
      </w:pPr>
      <w:r>
        <w:rPr>
          <w:color w:val="1F3864"/>
        </w:rPr>
        <w:t>2. Methodology</w:t>
      </w:r>
    </w:p>
    <w:p>
      <w:pPr>
        <w:pStyle w:val="Heading2"/>
      </w:pPr>
      <w:r>
        <w:rPr>
          <w:color w:val="2F5496"/>
        </w:rPr>
        <w:t>2.1 Retrieval / reranking methods evaluated</w:t>
      </w:r>
    </w:p>
    <w:p>
      <w:pPr>
        <w:pStyle w:val="ListBullet"/>
      </w:pPr>
      <w:r>
        <w:rPr>
          <w:sz w:val="21"/>
        </w:rPr>
        <w:t>RRF — conditional Reciprocal Rank Fusion of semantic + BM25 retrieval, each pre-filtered by a calibrated threshold (semantic &gt; 0.45, BM25 &gt; 1.25). This is the deployed production method.</w:t>
      </w:r>
    </w:p>
    <w:p>
      <w:pPr>
        <w:pStyle w:val="ListBullet"/>
      </w:pPr>
      <w:r>
        <w:rPr>
          <w:sz w:val="21"/>
        </w:rPr>
        <w:t>CrossEncoder_base — cross-encoder/ms-marco-MiniLM-L-6-v2, no query expansion, reranking the raw union of semantic+BM25 candidates.</w:t>
      </w:r>
    </w:p>
    <w:p>
      <w:pPr>
        <w:pStyle w:val="ListBullet"/>
      </w:pPr>
      <w:r>
        <w:rPr>
          <w:sz w:val="21"/>
        </w:rPr>
        <w:t>CrossEncoder_advance — jina-reranker-v3 + AnvilGPT (gpt-oss:120b) query expansion + an admit-broadly instruction. Mirrors the deployed advanced-reranker code path.</w:t>
      </w:r>
    </w:p>
    <w:p>
      <w:pPr>
        <w:pStyle w:val="Heading2"/>
      </w:pPr>
      <w:r>
        <w:rPr>
          <w:color w:val="2F5496"/>
        </w:rPr>
        <w:t>2.2 Document text variants</w:t>
      </w:r>
    </w:p>
    <w:p>
      <w:pPr>
        <w:pStyle w:val="ListBullet"/>
      </w:pPr>
      <w:r>
        <w:rPr>
          <w:sz w:val="21"/>
        </w:rPr>
        <w:t>current — title + "|" + description (what the app does today).</w:t>
      </w:r>
    </w:p>
    <w:p>
      <w:pPr>
        <w:pStyle w:val="ListBullet"/>
      </w:pPr>
      <w:r>
        <w:rPr>
          <w:sz w:val="21"/>
        </w:rPr>
        <w:t>flat — HTML/entities stripped, structural symbols (incl. “|”) removed, collapsed to prose.</w:t>
      </w:r>
    </w:p>
    <w:p>
      <w:pPr>
        <w:pStyle w:val="ListBullet"/>
      </w:pPr>
      <w:r>
        <w:rPr>
          <w:sz w:val="21"/>
        </w:rPr>
        <w:t>labeled — explicit field labels: “title: … description: …”.</w:t>
      </w:r>
    </w:p>
    <w:p>
      <w:pPr>
        <w:pStyle w:val="ListBullet"/>
      </w:pPr>
      <w:r>
        <w:rPr>
          <w:sz w:val="21"/>
        </w:rPr>
        <w:t>summary — curated per-module text sourced from summaries/*.md (title + description + objectives, LLM-backfilled where the catalog had no description). Only 238 of 336 corpus docs have a curated file; the remaining 98 (29%) fall back to the current text so the corpus stays complete.</w:t>
      </w:r>
    </w:p>
    <w:p>
      <w:pPr>
        <w:pStyle w:val="Heading2"/>
      </w:pPr>
      <w:r>
        <w:rPr>
          <w:color w:val="2F5496"/>
        </w:rPr>
        <w:t>2.3 Scoring</w:t>
      </w:r>
    </w:p>
    <w:p>
      <w:r>
        <w:rPr>
          <w:b w:val="0"/>
          <w:i w:val="0"/>
          <w:sz w:val="21"/>
        </w:rPr>
        <w:t>“Fixed-Pool” method: each method’s retrieved+scored candidates are split at its decision threshold into predicted-positive / predicted-negative, compared against human-labeled expected_ids, and scored via MCC and balanced accuracy, aggregated (mean/median) over the 35-query eval set (gemini_generate_dataset_updateByHuman.jsonl). This reproduces the exact logic already used by the app’s /evaluate endpoint.</w:t>
      </w:r>
    </w:p>
    <w:p>
      <w:pPr>
        <w:pStyle w:val="Heading1"/>
      </w:pPr>
      <w:r>
        <w:rPr>
          <w:color w:val="1F3864"/>
        </w:rPr>
        <w:t>3. Infrastructure: Running on Anvil</w:t>
      </w:r>
    </w:p>
    <w:p>
      <w:r>
        <w:rPr>
          <w:b w:val="0"/>
          <w:i w:val="0"/>
          <w:sz w:val="21"/>
        </w:rPr>
        <w:t>The experiment harness (flatten_ab_eval.py) needs GPU-cached models and the ANVILGPT_API secret, both only available on the Anvil cluster. It was run as a one-off Kubernetes Job in the cyberfaces-dev namespace — isolated from the live serving pod (separate memory/GPU allocation) so the experiment couldn’t disrupt production traffic. Several infrastructure issues surfaced and were fixed along the way:</w:t>
      </w:r>
    </w:p>
    <w:p>
      <w:pPr>
        <w:pStyle w:val="Heading2"/>
      </w:pPr>
      <w:r>
        <w:rPr>
          <w:color w:val="2F5496"/>
        </w:rPr>
        <w:t>3.1 Memory: exec’ing into the live pod OOM’d</w:t>
      </w:r>
    </w:p>
    <w:p>
      <w:r>
        <w:rPr>
          <w:b w:val="0"/>
          <w:i w:val="0"/>
          <w:sz w:val="21"/>
        </w:rPr>
        <w:t>Running all three methods inside the live serving pod’s 4Gi memory limit hit an OOM kill (exit 137) once all three models were loaded simultaneously. Fixed by running as an isolated one-off Job with its own 6–10Gi memory budget, so the live service was never at risk (its restart count stayed at 0 throughout).</w:t>
      </w:r>
    </w:p>
    <w:p>
      <w:pPr>
        <w:pStyle w:val="Heading2"/>
      </w:pPr>
      <w:r>
        <w:rPr>
          <w:color w:val="2F5496"/>
        </w:rPr>
        <w:t>3.2 GPU contention on the shared cluster</w:t>
      </w:r>
    </w:p>
    <w:p>
      <w:r>
        <w:rPr>
          <w:b w:val="0"/>
          <w:i w:val="0"/>
          <w:sz w:val="21"/>
        </w:rPr>
        <w:t>The Job initially requested a MIG GPU slice (nvidia.com/mig-1g.12gb), but all slices cluster-wide were in use by other tenants, leaving the Job Pending. It was rescheduled onto a full H100 node instead (tolerating the gpu:h100 taint).</w:t>
      </w:r>
    </w:p>
    <w:p>
      <w:pPr>
        <w:pStyle w:val="Heading2"/>
      </w:pPr>
      <w:r>
        <w:rPr>
          <w:color w:val="2F5496"/>
        </w:rPr>
        <w:t>3.3 The real bottleneck: reranker running on CPU, not GPU</w:t>
      </w:r>
    </w:p>
    <w:p>
      <w:r>
        <w:rPr>
          <w:b w:val="0"/>
          <w:i w:val="0"/>
          <w:sz w:val="21"/>
        </w:rPr>
        <w:t>The first full run took ~3.5–4 minutes per query — at that rate, CrossEncoder_advance alone (105 calls across 3 text variants) would have taken 6+ hours. GPU utilization sampling showed 0% throughout, which initially pointed at the external AnvilGPT API as the bottleneck. Direct timing tests disproved that: an isolated call using the exact same prompt returned in 0.92s. Instrumenting the script with per-step timing isolated the actual cost:</w:t>
      </w:r>
    </w:p>
    <w:tbl>
      <w:tblPr>
        <w:tblStyle w:val="LightGrid-Accent1"/>
        <w:tblW w:type="auto" w:w="0"/>
        <w:jc w:val="center"/>
        <w:tblLook w:firstColumn="1" w:firstRow="1" w:lastColumn="0" w:lastRow="0" w:noHBand="0" w:noVBand="1" w:val="04A0"/>
      </w:tblPr>
      <w:tblGrid>
        <w:gridCol w:w="2880"/>
        <w:gridCol w:w="2880"/>
        <w:gridCol w:w="2880"/>
      </w:tblGrid>
      <w:tr>
        <w:tc>
          <w:tcPr>
            <w:tcW w:type="dxa" w:w="3744"/>
            <w:shd w:fill="2F5496"/>
          </w:tcPr>
          <w:p>
            <w:r>
              <w:rPr>
                <w:b/>
                <w:color w:val="FFFFFF"/>
                <w:sz w:val="19"/>
              </w:rPr>
              <w:t>Step</w:t>
            </w:r>
          </w:p>
        </w:tc>
        <w:tc>
          <w:tcPr>
            <w:tcW w:type="dxa" w:w="2736"/>
            <w:shd w:fill="2F5496"/>
          </w:tcPr>
          <w:p>
            <w:r>
              <w:rPr>
                <w:b/>
                <w:color w:val="FFFFFF"/>
                <w:sz w:val="19"/>
              </w:rPr>
              <w:t>Time before fix</w:t>
            </w:r>
          </w:p>
        </w:tc>
        <w:tc>
          <w:tcPr>
            <w:tcW w:type="dxa" w:w="3456"/>
            <w:shd w:fill="2F5496"/>
          </w:tcPr>
          <w:p>
            <w:r>
              <w:rPr>
                <w:b/>
                <w:color w:val="FFFFFF"/>
                <w:sz w:val="19"/>
              </w:rPr>
              <w:t>Time after fix</w:t>
            </w:r>
          </w:p>
        </w:tc>
      </w:tr>
      <w:tr>
        <w:tc>
          <w:tcPr>
            <w:tcW w:type="dxa" w:w="3744"/>
          </w:tcPr>
          <w:p>
            <w:pPr>
              <w:jc w:val="left"/>
            </w:pPr>
            <w:r>
              <w:rPr>
                <w:sz w:val="19"/>
              </w:rPr>
              <w:t>LLM query rewrite (AnvilGPT)</w:t>
            </w:r>
          </w:p>
        </w:tc>
        <w:tc>
          <w:tcPr>
            <w:tcW w:type="dxa" w:w="2736"/>
          </w:tcPr>
          <w:p>
            <w:pPr>
              <w:jc w:val="center"/>
            </w:pPr>
            <w:r>
              <w:rPr>
                <w:sz w:val="19"/>
              </w:rPr>
              <w:t>1–2s</w:t>
            </w:r>
          </w:p>
        </w:tc>
        <w:tc>
          <w:tcPr>
            <w:tcW w:type="dxa" w:w="3456"/>
          </w:tcPr>
          <w:p>
            <w:pPr>
              <w:jc w:val="center"/>
            </w:pPr>
            <w:r>
              <w:rPr>
                <w:sz w:val="19"/>
              </w:rPr>
              <w:t>1–2s (unchanged — never the problem)</w:t>
            </w:r>
          </w:p>
        </w:tc>
      </w:tr>
      <w:tr>
        <w:tc>
          <w:tcPr>
            <w:tcW w:type="dxa" w:w="3744"/>
          </w:tcPr>
          <w:p>
            <w:pPr>
              <w:jc w:val="left"/>
            </w:pPr>
            <w:r>
              <w:rPr>
                <w:sz w:val="19"/>
              </w:rPr>
              <w:t>Candidate pooling</w:t>
            </w:r>
          </w:p>
        </w:tc>
        <w:tc>
          <w:tcPr>
            <w:tcW w:type="dxa" w:w="2736"/>
          </w:tcPr>
          <w:p>
            <w:pPr>
              <w:jc w:val="center"/>
            </w:pPr>
            <w:r>
              <w:rPr>
                <w:sz w:val="19"/>
              </w:rPr>
              <w:t>~0.01s</w:t>
            </w:r>
          </w:p>
        </w:tc>
        <w:tc>
          <w:tcPr>
            <w:tcW w:type="dxa" w:w="3456"/>
          </w:tcPr>
          <w:p>
            <w:pPr>
              <w:jc w:val="center"/>
            </w:pPr>
            <w:r>
              <w:rPr>
                <w:sz w:val="19"/>
              </w:rPr>
              <w:t>~0.01s</w:t>
            </w:r>
          </w:p>
        </w:tc>
      </w:tr>
      <w:tr>
        <w:tc>
          <w:tcPr>
            <w:tcW w:type="dxa" w:w="3744"/>
          </w:tcPr>
          <w:p>
            <w:pPr>
              <w:jc w:val="left"/>
            </w:pPr>
            <w:r>
              <w:rPr>
                <w:sz w:val="19"/>
              </w:rPr>
              <w:t>jina-reranker-v3 rerank()</w:t>
            </w:r>
          </w:p>
        </w:tc>
        <w:tc>
          <w:tcPr>
            <w:tcW w:type="dxa" w:w="2736"/>
          </w:tcPr>
          <w:p>
            <w:pPr>
              <w:jc w:val="center"/>
            </w:pPr>
            <w:r>
              <w:rPr>
                <w:sz w:val="19"/>
              </w:rPr>
              <w:t>298–390s</w:t>
            </w:r>
          </w:p>
        </w:tc>
        <w:tc>
          <w:tcPr>
            <w:tcW w:type="dxa" w:w="3456"/>
          </w:tcPr>
          <w:p>
            <w:pPr>
              <w:jc w:val="center"/>
            </w:pPr>
            <w:r>
              <w:rPr>
                <w:sz w:val="19"/>
              </w:rPr>
              <w:t>0.15–1.75s</w:t>
            </w:r>
          </w:p>
        </w:tc>
      </w:tr>
    </w:tbl>
    <w:p/>
    <w:p>
      <w:r>
        <w:rPr>
          <w:b w:val="0"/>
          <w:i w:val="0"/>
          <w:sz w:val="21"/>
        </w:rPr>
        <w:t>Root cause: AutoModel.from_pretrained(ADV_CE_MODEL, trust_remote_code=True).eval() never moved the model onto the GPU — transformers defaults to CPU unless the device is set explicitly. A 28-layer Qwen3-based transformer (jina-reranker-v3’s backbone) was running its forward pass over a multi-thousand-token prompt on 1–2 CPU cores. Adding an explicit .to("cuda") fixed it — a ~300–2000× speedup on that step, cutting total run time from a projected 6+ hours to about 6–8 minutes.</w:t>
      </w:r>
    </w:p>
    <w:p>
      <w:pPr>
        <w:pStyle w:val="Heading2"/>
      </w:pPr>
      <w:r>
        <w:rPr>
          <w:color w:val="2F5496"/>
        </w:rPr>
        <w:t>3.4 Result durability</w:t>
      </w:r>
    </w:p>
    <w:p>
      <w:r>
        <w:rPr>
          <w:b w:val="0"/>
          <w:i w:val="0"/>
          <w:sz w:val="21"/>
        </w:rPr>
        <w:t>Two runs were lost to process gaps: a background watcher died unattended and the Job’s default 1-hour cleanup (ttlSecondsAfterFinished) deleted the pod — and its logs — before results could be retrieved. Fixed by extending the Job’s TTL to 24 hours, so a finished pod’s logs survive independent of whether anything is actively watching.</w:t>
      </w:r>
    </w:p>
    <w:p>
      <w:pPr>
        <w:pStyle w:val="Heading1"/>
      </w:pPr>
      <w:r>
        <w:rPr>
          <w:color w:val="1F3864"/>
        </w:rPr>
        <w:t>4. Results</w:t>
      </w:r>
    </w:p>
    <w:p>
      <w:r>
        <w:rPr>
          <w:b w:val="0"/>
          <w:i w:val="0"/>
          <w:sz w:val="21"/>
        </w:rPr>
        <w:t>All four text variants × three methods, from the final consistent run (GPU-fixed, all variants in a single run for direct comparability). bAcc = balanced accuracy (mean/median); MCC = Matthews correlation coefficient (mean/median); FP = total false positives summed over the 35-query eval set.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2448"/>
            <w:shd w:fill="2F5496"/>
          </w:tcPr>
          <w:p>
            <w:r>
              <w:rPr>
                <w:b/>
                <w:color w:val="FFFFFF"/>
                <w:sz w:val="19"/>
              </w:rPr>
              <w:t>Method</w:t>
            </w:r>
          </w:p>
        </w:tc>
        <w:tc>
          <w:tcPr>
            <w:tcW w:type="dxa" w:w="1584"/>
            <w:shd w:fill="2F5496"/>
          </w:tcPr>
          <w:p>
            <w:r>
              <w:rPr>
                <w:b/>
                <w:color w:val="FFFFFF"/>
                <w:sz w:val="19"/>
              </w:rPr>
              <w:t>Text variant</w:t>
            </w:r>
          </w:p>
        </w:tc>
        <w:tc>
          <w:tcPr>
            <w:tcW w:type="dxa" w:w="2016"/>
            <w:shd w:fill="2F5496"/>
          </w:tcPr>
          <w:p>
            <w:r>
              <w:rPr>
                <w:b/>
                <w:color w:val="FFFFFF"/>
                <w:sz w:val="19"/>
              </w:rPr>
              <w:t>bAcc (mean/med)</w:t>
            </w:r>
          </w:p>
        </w:tc>
        <w:tc>
          <w:tcPr>
            <w:tcW w:type="dxa" w:w="2016"/>
            <w:shd w:fill="2F5496"/>
          </w:tcPr>
          <w:p>
            <w:r>
              <w:rPr>
                <w:b/>
                <w:color w:val="FFFFFF"/>
                <w:sz w:val="19"/>
              </w:rPr>
              <w:t>MCC (mean/med)</w:t>
            </w:r>
          </w:p>
        </w:tc>
        <w:tc>
          <w:tcPr>
            <w:tcW w:type="dxa" w:w="1152"/>
            <w:shd w:fill="2F5496"/>
          </w:tcPr>
          <w:p>
            <w:r>
              <w:rPr>
                <w:b/>
                <w:color w:val="FFFFFF"/>
                <w:sz w:val="19"/>
              </w:rPr>
              <w:t>Total FP</w:t>
            </w:r>
          </w:p>
        </w:tc>
      </w:tr>
      <w:tr>
        <w:tc>
          <w:tcPr>
            <w:tcW w:type="dxa" w:w="2448"/>
          </w:tcPr>
          <w:p>
            <w:pPr>
              <w:jc w:val="left"/>
            </w:pPr>
            <w:r>
              <w:rPr>
                <w:sz w:val="19"/>
              </w:rPr>
              <w:t>RRF</w:t>
            </w:r>
          </w:p>
        </w:tc>
        <w:tc>
          <w:tcPr>
            <w:tcW w:type="dxa" w:w="1584"/>
          </w:tcPr>
          <w:p>
            <w:pPr>
              <w:jc w:val="center"/>
            </w:pPr>
            <w:r>
              <w:rPr>
                <w:sz w:val="19"/>
              </w:rPr>
              <w:t>current</w:t>
            </w:r>
          </w:p>
        </w:tc>
        <w:tc>
          <w:tcPr>
            <w:tcW w:type="dxa" w:w="2016"/>
          </w:tcPr>
          <w:p>
            <w:pPr>
              <w:jc w:val="center"/>
            </w:pPr>
            <w:r>
              <w:rPr>
                <w:sz w:val="19"/>
              </w:rPr>
              <w:t>0.861 / 0.892</w:t>
            </w:r>
          </w:p>
        </w:tc>
        <w:tc>
          <w:tcPr>
            <w:tcW w:type="dxa" w:w="2016"/>
          </w:tcPr>
          <w:p>
            <w:pPr>
              <w:jc w:val="center"/>
            </w:pPr>
            <w:r>
              <w:rPr>
                <w:sz w:val="19"/>
              </w:rPr>
              <w:t>0.680 / 0.691</w:t>
            </w:r>
          </w:p>
        </w:tc>
        <w:tc>
          <w:tcPr>
            <w:tcW w:type="dxa" w:w="1152"/>
          </w:tcPr>
          <w:p>
            <w:pPr>
              <w:jc w:val="center"/>
            </w:pPr>
            <w:r>
              <w:rPr>
                <w:sz w:val="19"/>
              </w:rPr>
              <w:t>114</w:t>
            </w:r>
          </w:p>
        </w:tc>
      </w:tr>
      <w:tr>
        <w:tc>
          <w:tcPr>
            <w:tcW w:type="dxa" w:w="2448"/>
          </w:tcPr>
          <w:p>
            <w:pPr>
              <w:jc w:val="left"/>
            </w:pPr>
            <w:r>
              <w:rPr>
                <w:sz w:val="19"/>
              </w:rPr>
              <w:t>RRF</w:t>
            </w:r>
          </w:p>
        </w:tc>
        <w:tc>
          <w:tcPr>
            <w:tcW w:type="dxa" w:w="1584"/>
          </w:tcPr>
          <w:p>
            <w:pPr>
              <w:jc w:val="center"/>
            </w:pPr>
            <w:r>
              <w:rPr>
                <w:sz w:val="19"/>
              </w:rPr>
              <w:t>flat</w:t>
            </w:r>
          </w:p>
        </w:tc>
        <w:tc>
          <w:tcPr>
            <w:tcW w:type="dxa" w:w="2016"/>
          </w:tcPr>
          <w:p>
            <w:pPr>
              <w:jc w:val="center"/>
            </w:pPr>
            <w:r>
              <w:rPr>
                <w:sz w:val="19"/>
              </w:rPr>
              <w:t>0.853 / 0.904</w:t>
            </w:r>
          </w:p>
        </w:tc>
        <w:tc>
          <w:tcPr>
            <w:tcW w:type="dxa" w:w="2016"/>
          </w:tcPr>
          <w:p>
            <w:pPr>
              <w:jc w:val="center"/>
            </w:pPr>
            <w:r>
              <w:rPr>
                <w:sz w:val="19"/>
              </w:rPr>
              <w:t>0.664 / 0.691</w:t>
            </w:r>
          </w:p>
        </w:tc>
        <w:tc>
          <w:tcPr>
            <w:tcW w:type="dxa" w:w="1152"/>
          </w:tcPr>
          <w:p>
            <w:pPr>
              <w:jc w:val="center"/>
            </w:pPr>
            <w:r>
              <w:rPr>
                <w:sz w:val="19"/>
              </w:rPr>
              <w:t>112</w:t>
            </w:r>
          </w:p>
        </w:tc>
      </w:tr>
      <w:tr>
        <w:tc>
          <w:tcPr>
            <w:tcW w:type="dxa" w:w="2448"/>
          </w:tcPr>
          <w:p>
            <w:pPr>
              <w:jc w:val="left"/>
            </w:pPr>
            <w:r>
              <w:rPr>
                <w:sz w:val="19"/>
              </w:rPr>
              <w:t>RRF</w:t>
            </w:r>
          </w:p>
        </w:tc>
        <w:tc>
          <w:tcPr>
            <w:tcW w:type="dxa" w:w="1584"/>
          </w:tcPr>
          <w:p>
            <w:pPr>
              <w:jc w:val="center"/>
            </w:pPr>
            <w:r>
              <w:rPr>
                <w:sz w:val="19"/>
              </w:rPr>
              <w:t>labeled</w:t>
            </w:r>
          </w:p>
        </w:tc>
        <w:tc>
          <w:tcPr>
            <w:tcW w:type="dxa" w:w="2016"/>
          </w:tcPr>
          <w:p>
            <w:pPr>
              <w:jc w:val="center"/>
            </w:pPr>
            <w:r>
              <w:rPr>
                <w:sz w:val="19"/>
              </w:rPr>
              <w:t>0.844 / 0.881</w:t>
            </w:r>
          </w:p>
        </w:tc>
        <w:tc>
          <w:tcPr>
            <w:tcW w:type="dxa" w:w="2016"/>
          </w:tcPr>
          <w:p>
            <w:pPr>
              <w:jc w:val="center"/>
            </w:pPr>
            <w:r>
              <w:rPr>
                <w:sz w:val="19"/>
              </w:rPr>
              <w:t>0.644 / 0.698</w:t>
            </w:r>
          </w:p>
        </w:tc>
        <w:tc>
          <w:tcPr>
            <w:tcW w:type="dxa" w:w="1152"/>
          </w:tcPr>
          <w:p>
            <w:pPr>
              <w:jc w:val="center"/>
            </w:pPr>
            <w:r>
              <w:rPr>
                <w:sz w:val="19"/>
              </w:rPr>
              <w:t>123</w:t>
            </w:r>
          </w:p>
        </w:tc>
      </w:tr>
      <w:tr>
        <w:tc>
          <w:tcPr>
            <w:tcW w:type="dxa" w:w="2448"/>
          </w:tcPr>
          <w:p>
            <w:pPr>
              <w:jc w:val="left"/>
            </w:pPr>
            <w:r>
              <w:rPr>
                <w:sz w:val="19"/>
              </w:rPr>
              <w:t>RRF</w:t>
            </w:r>
          </w:p>
        </w:tc>
        <w:tc>
          <w:tcPr>
            <w:tcW w:type="dxa" w:w="1584"/>
          </w:tcPr>
          <w:p>
            <w:pPr>
              <w:jc w:val="center"/>
            </w:pPr>
            <w:r>
              <w:rPr>
                <w:sz w:val="19"/>
              </w:rPr>
              <w:t>summary</w:t>
            </w:r>
          </w:p>
        </w:tc>
        <w:tc>
          <w:tcPr>
            <w:tcW w:type="dxa" w:w="2016"/>
          </w:tcPr>
          <w:p>
            <w:pPr>
              <w:jc w:val="center"/>
            </w:pPr>
            <w:r>
              <w:rPr>
                <w:sz w:val="19"/>
              </w:rPr>
              <w:t>0.824 / 0.821</w:t>
            </w:r>
          </w:p>
        </w:tc>
        <w:tc>
          <w:tcPr>
            <w:tcW w:type="dxa" w:w="2016"/>
          </w:tcPr>
          <w:p>
            <w:pPr>
              <w:jc w:val="center"/>
            </w:pPr>
            <w:r>
              <w:rPr>
                <w:sz w:val="19"/>
              </w:rPr>
              <w:t>0.548 / 0.549</w:t>
            </w:r>
          </w:p>
        </w:tc>
        <w:tc>
          <w:tcPr>
            <w:tcW w:type="dxa" w:w="1152"/>
          </w:tcPr>
          <w:p>
            <w:pPr>
              <w:jc w:val="center"/>
            </w:pPr>
            <w:r>
              <w:rPr>
                <w:sz w:val="19"/>
              </w:rPr>
              <w:t>192</w:t>
            </w:r>
          </w:p>
        </w:tc>
      </w:tr>
      <w:tr>
        <w:tc>
          <w:tcPr>
            <w:tcW w:type="dxa" w:w="2448"/>
          </w:tcPr>
          <w:p>
            <w:pPr>
              <w:jc w:val="left"/>
            </w:pPr>
            <w:r>
              <w:rPr>
                <w:sz w:val="19"/>
              </w:rPr>
              <w:t>CrossEncoder_base</w:t>
            </w:r>
          </w:p>
        </w:tc>
        <w:tc>
          <w:tcPr>
            <w:tcW w:type="dxa" w:w="1584"/>
          </w:tcPr>
          <w:p>
            <w:pPr>
              <w:jc w:val="center"/>
            </w:pPr>
            <w:r>
              <w:rPr>
                <w:sz w:val="19"/>
              </w:rPr>
              <w:t>current</w:t>
            </w:r>
          </w:p>
        </w:tc>
        <w:tc>
          <w:tcPr>
            <w:tcW w:type="dxa" w:w="2016"/>
          </w:tcPr>
          <w:p>
            <w:pPr>
              <w:jc w:val="center"/>
            </w:pPr>
            <w:r>
              <w:rPr>
                <w:sz w:val="19"/>
              </w:rPr>
              <w:t>0.709 / 0.625</w:t>
            </w:r>
          </w:p>
        </w:tc>
        <w:tc>
          <w:tcPr>
            <w:tcW w:type="dxa" w:w="2016"/>
          </w:tcPr>
          <w:p>
            <w:pPr>
              <w:jc w:val="center"/>
            </w:pPr>
            <w:r>
              <w:rPr>
                <w:sz w:val="19"/>
              </w:rPr>
              <w:t>0.468 / 0.426</w:t>
            </w:r>
          </w:p>
        </w:tc>
        <w:tc>
          <w:tcPr>
            <w:tcW w:type="dxa" w:w="1152"/>
          </w:tcPr>
          <w:p>
            <w:pPr>
              <w:jc w:val="center"/>
            </w:pPr>
            <w:r>
              <w:rPr>
                <w:sz w:val="19"/>
              </w:rPr>
              <w:t>15</w:t>
            </w:r>
          </w:p>
        </w:tc>
      </w:tr>
      <w:tr>
        <w:tc>
          <w:tcPr>
            <w:tcW w:type="dxa" w:w="2448"/>
          </w:tcPr>
          <w:p>
            <w:pPr>
              <w:jc w:val="left"/>
            </w:pPr>
            <w:r>
              <w:rPr>
                <w:sz w:val="19"/>
              </w:rPr>
              <w:t>CrossEncoder_base</w:t>
            </w:r>
          </w:p>
        </w:tc>
        <w:tc>
          <w:tcPr>
            <w:tcW w:type="dxa" w:w="1584"/>
          </w:tcPr>
          <w:p>
            <w:pPr>
              <w:jc w:val="center"/>
            </w:pPr>
            <w:r>
              <w:rPr>
                <w:sz w:val="19"/>
              </w:rPr>
              <w:t>flat</w:t>
            </w:r>
          </w:p>
        </w:tc>
        <w:tc>
          <w:tcPr>
            <w:tcW w:type="dxa" w:w="2016"/>
          </w:tcPr>
          <w:p>
            <w:pPr>
              <w:jc w:val="center"/>
            </w:pPr>
            <w:r>
              <w:rPr>
                <w:sz w:val="19"/>
              </w:rPr>
              <w:t>0.710 / 0.625</w:t>
            </w:r>
          </w:p>
        </w:tc>
        <w:tc>
          <w:tcPr>
            <w:tcW w:type="dxa" w:w="2016"/>
          </w:tcPr>
          <w:p>
            <w:pPr>
              <w:jc w:val="center"/>
            </w:pPr>
            <w:r>
              <w:rPr>
                <w:sz w:val="19"/>
              </w:rPr>
              <w:t>0.471 / 0.441</w:t>
            </w:r>
          </w:p>
        </w:tc>
        <w:tc>
          <w:tcPr>
            <w:tcW w:type="dxa" w:w="1152"/>
          </w:tcPr>
          <w:p>
            <w:pPr>
              <w:jc w:val="center"/>
            </w:pPr>
            <w:r>
              <w:rPr>
                <w:sz w:val="19"/>
              </w:rPr>
              <w:t>15</w:t>
            </w:r>
          </w:p>
        </w:tc>
      </w:tr>
      <w:tr>
        <w:tc>
          <w:tcPr>
            <w:tcW w:type="dxa" w:w="2448"/>
          </w:tcPr>
          <w:p>
            <w:pPr>
              <w:jc w:val="left"/>
            </w:pPr>
            <w:r>
              <w:rPr>
                <w:sz w:val="19"/>
              </w:rPr>
              <w:t>CrossEncoder_base</w:t>
            </w:r>
          </w:p>
        </w:tc>
        <w:tc>
          <w:tcPr>
            <w:tcW w:type="dxa" w:w="1584"/>
          </w:tcPr>
          <w:p>
            <w:pPr>
              <w:jc w:val="center"/>
            </w:pPr>
            <w:r>
              <w:rPr>
                <w:sz w:val="19"/>
              </w:rPr>
              <w:t>labeled</w:t>
            </w:r>
          </w:p>
        </w:tc>
        <w:tc>
          <w:tcPr>
            <w:tcW w:type="dxa" w:w="2016"/>
          </w:tcPr>
          <w:p>
            <w:pPr>
              <w:jc w:val="center"/>
            </w:pPr>
            <w:r>
              <w:rPr>
                <w:sz w:val="19"/>
              </w:rPr>
              <w:t>0.696 / 0.625</w:t>
            </w:r>
          </w:p>
        </w:tc>
        <w:tc>
          <w:tcPr>
            <w:tcW w:type="dxa" w:w="2016"/>
          </w:tcPr>
          <w:p>
            <w:pPr>
              <w:jc w:val="center"/>
            </w:pPr>
            <w:r>
              <w:rPr>
                <w:sz w:val="19"/>
              </w:rPr>
              <w:t>0.441 / 0.427</w:t>
            </w:r>
          </w:p>
        </w:tc>
        <w:tc>
          <w:tcPr>
            <w:tcW w:type="dxa" w:w="1152"/>
          </w:tcPr>
          <w:p>
            <w:pPr>
              <w:jc w:val="center"/>
            </w:pPr>
            <w:r>
              <w:rPr>
                <w:sz w:val="19"/>
              </w:rPr>
              <w:t>11</w:t>
            </w:r>
          </w:p>
        </w:tc>
      </w:tr>
      <w:tr>
        <w:tc>
          <w:tcPr>
            <w:tcW w:type="dxa" w:w="2448"/>
          </w:tcPr>
          <w:p>
            <w:pPr>
              <w:jc w:val="left"/>
            </w:pPr>
            <w:r>
              <w:rPr>
                <w:sz w:val="19"/>
              </w:rPr>
              <w:t>CrossEncoder_base</w:t>
            </w:r>
          </w:p>
        </w:tc>
        <w:tc>
          <w:tcPr>
            <w:tcW w:type="dxa" w:w="1584"/>
          </w:tcPr>
          <w:p>
            <w:pPr>
              <w:jc w:val="center"/>
            </w:pPr>
            <w:r>
              <w:rPr>
                <w:sz w:val="19"/>
              </w:rPr>
              <w:t>summary</w:t>
            </w:r>
          </w:p>
        </w:tc>
        <w:tc>
          <w:tcPr>
            <w:tcW w:type="dxa" w:w="2016"/>
          </w:tcPr>
          <w:p>
            <w:pPr>
              <w:jc w:val="center"/>
            </w:pPr>
            <w:r>
              <w:rPr>
                <w:sz w:val="19"/>
              </w:rPr>
              <w:t>0.759 / 0.717</w:t>
            </w:r>
          </w:p>
        </w:tc>
        <w:tc>
          <w:tcPr>
            <w:tcW w:type="dxa" w:w="2016"/>
          </w:tcPr>
          <w:p>
            <w:pPr>
              <w:jc w:val="center"/>
            </w:pPr>
            <w:r>
              <w:rPr>
                <w:sz w:val="19"/>
              </w:rPr>
              <w:t>0.530 / 0.481</w:t>
            </w:r>
          </w:p>
        </w:tc>
        <w:tc>
          <w:tcPr>
            <w:tcW w:type="dxa" w:w="1152"/>
          </w:tcPr>
          <w:p>
            <w:pPr>
              <w:jc w:val="center"/>
            </w:pPr>
            <w:r>
              <w:rPr>
                <w:sz w:val="19"/>
              </w:rPr>
              <w:t>80</w:t>
            </w:r>
          </w:p>
        </w:tc>
      </w:tr>
      <w:tr>
        <w:tc>
          <w:tcPr>
            <w:tcW w:type="dxa" w:w="2448"/>
          </w:tcPr>
          <w:p>
            <w:pPr>
              <w:jc w:val="left"/>
            </w:pPr>
            <w:r>
              <w:rPr>
                <w:sz w:val="19"/>
              </w:rPr>
              <w:t>CrossEncoder_advance</w:t>
            </w:r>
          </w:p>
        </w:tc>
        <w:tc>
          <w:tcPr>
            <w:tcW w:type="dxa" w:w="1584"/>
          </w:tcPr>
          <w:p>
            <w:pPr>
              <w:jc w:val="center"/>
            </w:pPr>
            <w:r>
              <w:rPr>
                <w:sz w:val="19"/>
              </w:rPr>
              <w:t>current</w:t>
            </w:r>
          </w:p>
        </w:tc>
        <w:tc>
          <w:tcPr>
            <w:tcW w:type="dxa" w:w="2016"/>
          </w:tcPr>
          <w:p>
            <w:pPr>
              <w:jc w:val="center"/>
            </w:pPr>
            <w:r>
              <w:rPr>
                <w:sz w:val="19"/>
              </w:rPr>
              <w:t>0.708 / 0.700</w:t>
            </w:r>
          </w:p>
        </w:tc>
        <w:tc>
          <w:tcPr>
            <w:tcW w:type="dxa" w:w="2016"/>
          </w:tcPr>
          <w:p>
            <w:pPr>
              <w:jc w:val="center"/>
            </w:pPr>
            <w:r>
              <w:rPr>
                <w:sz w:val="19"/>
              </w:rPr>
              <w:t>0.270 / 0.255</w:t>
            </w:r>
          </w:p>
        </w:tc>
        <w:tc>
          <w:tcPr>
            <w:tcW w:type="dxa" w:w="1152"/>
          </w:tcPr>
          <w:p>
            <w:pPr>
              <w:jc w:val="center"/>
            </w:pPr>
            <w:r>
              <w:rPr>
                <w:sz w:val="19"/>
              </w:rPr>
              <w:t>448</w:t>
            </w:r>
          </w:p>
        </w:tc>
      </w:tr>
      <w:tr>
        <w:tc>
          <w:tcPr>
            <w:tcW w:type="dxa" w:w="2448"/>
          </w:tcPr>
          <w:p>
            <w:pPr>
              <w:jc w:val="left"/>
            </w:pPr>
            <w:r>
              <w:rPr>
                <w:sz w:val="19"/>
              </w:rPr>
              <w:t>CrossEncoder_advance</w:t>
            </w:r>
          </w:p>
        </w:tc>
        <w:tc>
          <w:tcPr>
            <w:tcW w:type="dxa" w:w="1584"/>
          </w:tcPr>
          <w:p>
            <w:pPr>
              <w:jc w:val="center"/>
            </w:pPr>
            <w:r>
              <w:rPr>
                <w:sz w:val="19"/>
              </w:rPr>
              <w:t>flat</w:t>
            </w:r>
          </w:p>
        </w:tc>
        <w:tc>
          <w:tcPr>
            <w:tcW w:type="dxa" w:w="2016"/>
          </w:tcPr>
          <w:p>
            <w:pPr>
              <w:jc w:val="center"/>
            </w:pPr>
            <w:r>
              <w:rPr>
                <w:sz w:val="19"/>
              </w:rPr>
              <w:t>0.717 / 0.720</w:t>
            </w:r>
          </w:p>
        </w:tc>
        <w:tc>
          <w:tcPr>
            <w:tcW w:type="dxa" w:w="2016"/>
          </w:tcPr>
          <w:p>
            <w:pPr>
              <w:jc w:val="center"/>
            </w:pPr>
            <w:r>
              <w:rPr>
                <w:sz w:val="19"/>
              </w:rPr>
              <w:t>0.283 / 0.272</w:t>
            </w:r>
          </w:p>
        </w:tc>
        <w:tc>
          <w:tcPr>
            <w:tcW w:type="dxa" w:w="1152"/>
          </w:tcPr>
          <w:p>
            <w:pPr>
              <w:jc w:val="center"/>
            </w:pPr>
            <w:r>
              <w:rPr>
                <w:sz w:val="19"/>
              </w:rPr>
              <w:t>470</w:t>
            </w:r>
          </w:p>
        </w:tc>
      </w:tr>
      <w:tr>
        <w:tc>
          <w:tcPr>
            <w:tcW w:type="dxa" w:w="2448"/>
          </w:tcPr>
          <w:p>
            <w:pPr>
              <w:jc w:val="left"/>
            </w:pPr>
            <w:r>
              <w:rPr>
                <w:sz w:val="19"/>
              </w:rPr>
              <w:t>CrossEncoder_advance</w:t>
            </w:r>
          </w:p>
        </w:tc>
        <w:tc>
          <w:tcPr>
            <w:tcW w:type="dxa" w:w="1584"/>
          </w:tcPr>
          <w:p>
            <w:pPr>
              <w:jc w:val="center"/>
            </w:pPr>
            <w:r>
              <w:rPr>
                <w:sz w:val="19"/>
              </w:rPr>
              <w:t>labeled</w:t>
            </w:r>
          </w:p>
        </w:tc>
        <w:tc>
          <w:tcPr>
            <w:tcW w:type="dxa" w:w="2016"/>
          </w:tcPr>
          <w:p>
            <w:pPr>
              <w:jc w:val="center"/>
            </w:pPr>
            <w:r>
              <w:rPr>
                <w:sz w:val="19"/>
              </w:rPr>
              <w:t>0.736 / 0.756</w:t>
            </w:r>
          </w:p>
        </w:tc>
        <w:tc>
          <w:tcPr>
            <w:tcW w:type="dxa" w:w="2016"/>
          </w:tcPr>
          <w:p>
            <w:pPr>
              <w:jc w:val="center"/>
            </w:pPr>
            <w:r>
              <w:rPr>
                <w:sz w:val="19"/>
              </w:rPr>
              <w:t>0.314 / 0.318</w:t>
            </w:r>
          </w:p>
        </w:tc>
        <w:tc>
          <w:tcPr>
            <w:tcW w:type="dxa" w:w="1152"/>
          </w:tcPr>
          <w:p>
            <w:pPr>
              <w:jc w:val="center"/>
            </w:pPr>
            <w:r>
              <w:rPr>
                <w:sz w:val="19"/>
              </w:rPr>
              <w:t>393</w:t>
            </w:r>
          </w:p>
        </w:tc>
      </w:tr>
      <w:tr>
        <w:tc>
          <w:tcPr>
            <w:tcW w:type="dxa" w:w="2448"/>
          </w:tcPr>
          <w:p>
            <w:pPr>
              <w:jc w:val="left"/>
            </w:pPr>
            <w:r>
              <w:rPr>
                <w:sz w:val="19"/>
              </w:rPr>
              <w:t>CrossEncoder_advance</w:t>
            </w:r>
          </w:p>
        </w:tc>
        <w:tc>
          <w:tcPr>
            <w:tcW w:type="dxa" w:w="1584"/>
          </w:tcPr>
          <w:p>
            <w:pPr>
              <w:jc w:val="center"/>
            </w:pPr>
            <w:r>
              <w:rPr>
                <w:sz w:val="19"/>
              </w:rPr>
              <w:t>summary</w:t>
            </w:r>
          </w:p>
        </w:tc>
        <w:tc>
          <w:tcPr>
            <w:tcW w:type="dxa" w:w="2016"/>
          </w:tcPr>
          <w:p>
            <w:pPr>
              <w:jc w:val="center"/>
            </w:pPr>
            <w:r>
              <w:rPr>
                <w:sz w:val="19"/>
              </w:rPr>
              <w:t>0.675 / 0.652</w:t>
            </w:r>
          </w:p>
        </w:tc>
        <w:tc>
          <w:tcPr>
            <w:tcW w:type="dxa" w:w="2016"/>
          </w:tcPr>
          <w:p>
            <w:pPr>
              <w:jc w:val="center"/>
            </w:pPr>
            <w:r>
              <w:rPr>
                <w:sz w:val="19"/>
              </w:rPr>
              <w:t>0.227 / 0.233</w:t>
            </w:r>
          </w:p>
        </w:tc>
        <w:tc>
          <w:tcPr>
            <w:tcW w:type="dxa" w:w="1152"/>
          </w:tcPr>
          <w:p>
            <w:pPr>
              <w:jc w:val="center"/>
            </w:pPr>
            <w:r>
              <w:rPr>
                <w:sz w:val="19"/>
              </w:rPr>
              <w:t>373</w:t>
            </w:r>
          </w:p>
        </w:tc>
      </w:tr>
    </w:tbl>
    <w:p/>
    <w:p>
      <w:pPr>
        <w:pStyle w:val="Heading2"/>
      </w:pPr>
      <w:r>
        <w:rPr>
          <w:color w:val="2F5496"/>
        </w:rPr>
        <w:t>4.1 Deltas vs. current (same run)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2448"/>
            <w:shd w:fill="2F5496"/>
          </w:tcPr>
          <w:p>
            <w:r>
              <w:rPr>
                <w:b/>
                <w:color w:val="FFFFFF"/>
                <w:sz w:val="19"/>
              </w:rPr>
              <w:t>Method</w:t>
            </w:r>
          </w:p>
        </w:tc>
        <w:tc>
          <w:tcPr>
            <w:tcW w:type="dxa" w:w="1584"/>
            <w:shd w:fill="2F5496"/>
          </w:tcPr>
          <w:p>
            <w:r>
              <w:rPr>
                <w:b/>
                <w:color w:val="FFFFFF"/>
                <w:sz w:val="19"/>
              </w:rPr>
              <w:t>Variant</w:t>
            </w:r>
          </w:p>
        </w:tc>
        <w:tc>
          <w:tcPr>
            <w:tcW w:type="dxa" w:w="1872"/>
            <w:shd w:fill="2F5496"/>
          </w:tcPr>
          <w:p>
            <w:r>
              <w:rPr>
                <w:b/>
                <w:color w:val="FFFFFF"/>
                <w:sz w:val="19"/>
              </w:rPr>
              <w:t>Δ bAcc (mean)</w:t>
            </w:r>
          </w:p>
        </w:tc>
        <w:tc>
          <w:tcPr>
            <w:tcW w:type="dxa" w:w="1872"/>
            <w:shd w:fill="2F5496"/>
          </w:tcPr>
          <w:p>
            <w:r>
              <w:rPr>
                <w:b/>
                <w:color w:val="FFFFFF"/>
                <w:sz w:val="19"/>
              </w:rPr>
              <w:t>Δ MCC (mean)</w:t>
            </w:r>
          </w:p>
        </w:tc>
        <w:tc>
          <w:tcPr>
            <w:tcW w:type="dxa" w:w="1152"/>
            <w:shd w:fill="2F5496"/>
          </w:tcPr>
          <w:p>
            <w:r>
              <w:rPr>
                <w:b/>
                <w:color w:val="FFFFFF"/>
                <w:sz w:val="19"/>
              </w:rPr>
              <w:t>Δ FP</w:t>
            </w:r>
          </w:p>
        </w:tc>
      </w:tr>
      <w:tr>
        <w:tc>
          <w:tcPr>
            <w:tcW w:type="dxa" w:w="2448"/>
          </w:tcPr>
          <w:p>
            <w:pPr>
              <w:jc w:val="left"/>
            </w:pPr>
            <w:r>
              <w:rPr>
                <w:sz w:val="19"/>
              </w:rPr>
              <w:t>RRF</w:t>
            </w:r>
          </w:p>
        </w:tc>
        <w:tc>
          <w:tcPr>
            <w:tcW w:type="dxa" w:w="1584"/>
          </w:tcPr>
          <w:p>
            <w:pPr>
              <w:jc w:val="center"/>
            </w:pPr>
            <w:r>
              <w:rPr>
                <w:sz w:val="19"/>
              </w:rPr>
              <w:t>flat</w:t>
            </w:r>
          </w:p>
        </w:tc>
        <w:tc>
          <w:tcPr>
            <w:tcW w:type="dxa" w:w="1872"/>
          </w:tcPr>
          <w:p>
            <w:pPr>
              <w:jc w:val="center"/>
            </w:pPr>
            <w:r>
              <w:rPr>
                <w:sz w:val="19"/>
              </w:rPr>
              <w:t>-0.008</w:t>
            </w:r>
          </w:p>
        </w:tc>
        <w:tc>
          <w:tcPr>
            <w:tcW w:type="dxa" w:w="1872"/>
          </w:tcPr>
          <w:p>
            <w:pPr>
              <w:jc w:val="center"/>
            </w:pPr>
            <w:r>
              <w:rPr>
                <w:sz w:val="19"/>
              </w:rPr>
              <w:t>-0.016</w:t>
            </w:r>
          </w:p>
        </w:tc>
        <w:tc>
          <w:tcPr>
            <w:tcW w:type="dxa" w:w="1152"/>
          </w:tcPr>
          <w:p>
            <w:pPr>
              <w:jc w:val="center"/>
            </w:pPr>
            <w:r>
              <w:rPr>
                <w:sz w:val="19"/>
              </w:rPr>
              <w:t>-2</w:t>
            </w:r>
          </w:p>
        </w:tc>
      </w:tr>
      <w:tr>
        <w:tc>
          <w:tcPr>
            <w:tcW w:type="dxa" w:w="2448"/>
          </w:tcPr>
          <w:p>
            <w:pPr>
              <w:jc w:val="left"/>
            </w:pPr>
            <w:r>
              <w:rPr>
                <w:sz w:val="19"/>
              </w:rPr>
              <w:t>RRF</w:t>
            </w:r>
          </w:p>
        </w:tc>
        <w:tc>
          <w:tcPr>
            <w:tcW w:type="dxa" w:w="1584"/>
          </w:tcPr>
          <w:p>
            <w:pPr>
              <w:jc w:val="center"/>
            </w:pPr>
            <w:r>
              <w:rPr>
                <w:sz w:val="19"/>
              </w:rPr>
              <w:t>labeled</w:t>
            </w:r>
          </w:p>
        </w:tc>
        <w:tc>
          <w:tcPr>
            <w:tcW w:type="dxa" w:w="1872"/>
          </w:tcPr>
          <w:p>
            <w:pPr>
              <w:jc w:val="center"/>
            </w:pPr>
            <w:r>
              <w:rPr>
                <w:sz w:val="19"/>
              </w:rPr>
              <w:t>-0.018</w:t>
            </w:r>
          </w:p>
        </w:tc>
        <w:tc>
          <w:tcPr>
            <w:tcW w:type="dxa" w:w="1872"/>
          </w:tcPr>
          <w:p>
            <w:pPr>
              <w:jc w:val="center"/>
            </w:pPr>
            <w:r>
              <w:rPr>
                <w:sz w:val="19"/>
              </w:rPr>
              <w:t>-0.035</w:t>
            </w:r>
          </w:p>
        </w:tc>
        <w:tc>
          <w:tcPr>
            <w:tcW w:type="dxa" w:w="1152"/>
          </w:tcPr>
          <w:p>
            <w:pPr>
              <w:jc w:val="center"/>
            </w:pPr>
            <w:r>
              <w:rPr>
                <w:sz w:val="19"/>
              </w:rPr>
              <w:t>+9</w:t>
            </w:r>
          </w:p>
        </w:tc>
      </w:tr>
      <w:tr>
        <w:tc>
          <w:tcPr>
            <w:tcW w:type="dxa" w:w="2448"/>
          </w:tcPr>
          <w:p>
            <w:pPr>
              <w:jc w:val="left"/>
            </w:pPr>
            <w:r>
              <w:rPr>
                <w:sz w:val="19"/>
              </w:rPr>
              <w:t>RRF</w:t>
            </w:r>
          </w:p>
        </w:tc>
        <w:tc>
          <w:tcPr>
            <w:tcW w:type="dxa" w:w="1584"/>
          </w:tcPr>
          <w:p>
            <w:pPr>
              <w:jc w:val="center"/>
            </w:pPr>
            <w:r>
              <w:rPr>
                <w:sz w:val="19"/>
              </w:rPr>
              <w:t>summary</w:t>
            </w:r>
          </w:p>
        </w:tc>
        <w:tc>
          <w:tcPr>
            <w:tcW w:type="dxa" w:w="1872"/>
          </w:tcPr>
          <w:p>
            <w:pPr>
              <w:jc w:val="center"/>
            </w:pPr>
            <w:r>
              <w:rPr>
                <w:sz w:val="19"/>
              </w:rPr>
              <w:t>-0.037</w:t>
            </w:r>
          </w:p>
        </w:tc>
        <w:tc>
          <w:tcPr>
            <w:tcW w:type="dxa" w:w="1872"/>
          </w:tcPr>
          <w:p>
            <w:pPr>
              <w:jc w:val="center"/>
            </w:pPr>
            <w:r>
              <w:rPr>
                <w:sz w:val="19"/>
              </w:rPr>
              <w:t>-0.132</w:t>
            </w:r>
          </w:p>
        </w:tc>
        <w:tc>
          <w:tcPr>
            <w:tcW w:type="dxa" w:w="1152"/>
          </w:tcPr>
          <w:p>
            <w:pPr>
              <w:jc w:val="center"/>
            </w:pPr>
            <w:r>
              <w:rPr>
                <w:sz w:val="19"/>
              </w:rPr>
              <w:t>+78</w:t>
            </w:r>
          </w:p>
        </w:tc>
      </w:tr>
      <w:tr>
        <w:tc>
          <w:tcPr>
            <w:tcW w:type="dxa" w:w="2448"/>
          </w:tcPr>
          <w:p>
            <w:pPr>
              <w:jc w:val="left"/>
            </w:pPr>
            <w:r>
              <w:rPr>
                <w:sz w:val="19"/>
              </w:rPr>
              <w:t>CrossEncoder_base</w:t>
            </w:r>
          </w:p>
        </w:tc>
        <w:tc>
          <w:tcPr>
            <w:tcW w:type="dxa" w:w="1584"/>
          </w:tcPr>
          <w:p>
            <w:pPr>
              <w:jc w:val="center"/>
            </w:pPr>
            <w:r>
              <w:rPr>
                <w:sz w:val="19"/>
              </w:rPr>
              <w:t>flat</w:t>
            </w:r>
          </w:p>
        </w:tc>
        <w:tc>
          <w:tcPr>
            <w:tcW w:type="dxa" w:w="1872"/>
          </w:tcPr>
          <w:p>
            <w:pPr>
              <w:jc w:val="center"/>
            </w:pPr>
            <w:r>
              <w:rPr>
                <w:sz w:val="19"/>
              </w:rPr>
              <w:t>+0.001</w:t>
            </w:r>
          </w:p>
        </w:tc>
        <w:tc>
          <w:tcPr>
            <w:tcW w:type="dxa" w:w="1872"/>
          </w:tcPr>
          <w:p>
            <w:pPr>
              <w:jc w:val="center"/>
            </w:pPr>
            <w:r>
              <w:rPr>
                <w:sz w:val="19"/>
              </w:rPr>
              <w:t>+0.003</w:t>
            </w:r>
          </w:p>
        </w:tc>
        <w:tc>
          <w:tcPr>
            <w:tcW w:type="dxa" w:w="1152"/>
          </w:tcPr>
          <w:p>
            <w:pPr>
              <w:jc w:val="center"/>
            </w:pPr>
            <w:r>
              <w:rPr>
                <w:sz w:val="19"/>
              </w:rPr>
              <w:t>+0</w:t>
            </w:r>
          </w:p>
        </w:tc>
      </w:tr>
      <w:tr>
        <w:tc>
          <w:tcPr>
            <w:tcW w:type="dxa" w:w="2448"/>
          </w:tcPr>
          <w:p>
            <w:pPr>
              <w:jc w:val="left"/>
            </w:pPr>
            <w:r>
              <w:rPr>
                <w:sz w:val="19"/>
              </w:rPr>
              <w:t>CrossEncoder_base</w:t>
            </w:r>
          </w:p>
        </w:tc>
        <w:tc>
          <w:tcPr>
            <w:tcW w:type="dxa" w:w="1584"/>
          </w:tcPr>
          <w:p>
            <w:pPr>
              <w:jc w:val="center"/>
            </w:pPr>
            <w:r>
              <w:rPr>
                <w:sz w:val="19"/>
              </w:rPr>
              <w:t>labeled</w:t>
            </w:r>
          </w:p>
        </w:tc>
        <w:tc>
          <w:tcPr>
            <w:tcW w:type="dxa" w:w="1872"/>
          </w:tcPr>
          <w:p>
            <w:pPr>
              <w:jc w:val="center"/>
            </w:pPr>
            <w:r>
              <w:rPr>
                <w:sz w:val="19"/>
              </w:rPr>
              <w:t>-0.014</w:t>
            </w:r>
          </w:p>
        </w:tc>
        <w:tc>
          <w:tcPr>
            <w:tcW w:type="dxa" w:w="1872"/>
          </w:tcPr>
          <w:p>
            <w:pPr>
              <w:jc w:val="center"/>
            </w:pPr>
            <w:r>
              <w:rPr>
                <w:sz w:val="19"/>
              </w:rPr>
              <w:t>-0.027</w:t>
            </w:r>
          </w:p>
        </w:tc>
        <w:tc>
          <w:tcPr>
            <w:tcW w:type="dxa" w:w="1152"/>
          </w:tcPr>
          <w:p>
            <w:pPr>
              <w:jc w:val="center"/>
            </w:pPr>
            <w:r>
              <w:rPr>
                <w:sz w:val="19"/>
              </w:rPr>
              <w:t>-4</w:t>
            </w:r>
          </w:p>
        </w:tc>
      </w:tr>
      <w:tr>
        <w:tc>
          <w:tcPr>
            <w:tcW w:type="dxa" w:w="2448"/>
          </w:tcPr>
          <w:p>
            <w:pPr>
              <w:jc w:val="left"/>
            </w:pPr>
            <w:r>
              <w:rPr>
                <w:sz w:val="19"/>
              </w:rPr>
              <w:t>CrossEncoder_base</w:t>
            </w:r>
          </w:p>
        </w:tc>
        <w:tc>
          <w:tcPr>
            <w:tcW w:type="dxa" w:w="1584"/>
          </w:tcPr>
          <w:p>
            <w:pPr>
              <w:jc w:val="center"/>
            </w:pPr>
            <w:r>
              <w:rPr>
                <w:sz w:val="19"/>
              </w:rPr>
              <w:t>summary</w:t>
            </w:r>
          </w:p>
        </w:tc>
        <w:tc>
          <w:tcPr>
            <w:tcW w:type="dxa" w:w="1872"/>
          </w:tcPr>
          <w:p>
            <w:pPr>
              <w:jc w:val="center"/>
            </w:pPr>
            <w:r>
              <w:rPr>
                <w:sz w:val="19"/>
              </w:rPr>
              <w:t>+0.050</w:t>
            </w:r>
          </w:p>
        </w:tc>
        <w:tc>
          <w:tcPr>
            <w:tcW w:type="dxa" w:w="1872"/>
          </w:tcPr>
          <w:p>
            <w:pPr>
              <w:jc w:val="center"/>
            </w:pPr>
            <w:r>
              <w:rPr>
                <w:sz w:val="19"/>
              </w:rPr>
              <w:t>+0.062</w:t>
            </w:r>
          </w:p>
        </w:tc>
        <w:tc>
          <w:tcPr>
            <w:tcW w:type="dxa" w:w="1152"/>
          </w:tcPr>
          <w:p>
            <w:pPr>
              <w:jc w:val="center"/>
            </w:pPr>
            <w:r>
              <w:rPr>
                <w:sz w:val="19"/>
              </w:rPr>
              <w:t>+65</w:t>
            </w:r>
          </w:p>
        </w:tc>
      </w:tr>
      <w:tr>
        <w:tc>
          <w:tcPr>
            <w:tcW w:type="dxa" w:w="2448"/>
          </w:tcPr>
          <w:p>
            <w:pPr>
              <w:jc w:val="left"/>
            </w:pPr>
            <w:r>
              <w:rPr>
                <w:sz w:val="19"/>
              </w:rPr>
              <w:t>CrossEncoder_advance</w:t>
            </w:r>
          </w:p>
        </w:tc>
        <w:tc>
          <w:tcPr>
            <w:tcW w:type="dxa" w:w="1584"/>
          </w:tcPr>
          <w:p>
            <w:pPr>
              <w:jc w:val="center"/>
            </w:pPr>
            <w:r>
              <w:rPr>
                <w:sz w:val="19"/>
              </w:rPr>
              <w:t>flat</w:t>
            </w:r>
          </w:p>
        </w:tc>
        <w:tc>
          <w:tcPr>
            <w:tcW w:type="dxa" w:w="1872"/>
          </w:tcPr>
          <w:p>
            <w:pPr>
              <w:jc w:val="center"/>
            </w:pPr>
            <w:r>
              <w:rPr>
                <w:sz w:val="19"/>
              </w:rPr>
              <w:t>+0.009</w:t>
            </w:r>
          </w:p>
        </w:tc>
        <w:tc>
          <w:tcPr>
            <w:tcW w:type="dxa" w:w="1872"/>
          </w:tcPr>
          <w:p>
            <w:pPr>
              <w:jc w:val="center"/>
            </w:pPr>
            <w:r>
              <w:rPr>
                <w:sz w:val="19"/>
              </w:rPr>
              <w:t>+0.013</w:t>
            </w:r>
          </w:p>
        </w:tc>
        <w:tc>
          <w:tcPr>
            <w:tcW w:type="dxa" w:w="1152"/>
          </w:tcPr>
          <w:p>
            <w:pPr>
              <w:jc w:val="center"/>
            </w:pPr>
            <w:r>
              <w:rPr>
                <w:sz w:val="19"/>
              </w:rPr>
              <w:t>+22</w:t>
            </w:r>
          </w:p>
        </w:tc>
      </w:tr>
      <w:tr>
        <w:tc>
          <w:tcPr>
            <w:tcW w:type="dxa" w:w="2448"/>
          </w:tcPr>
          <w:p>
            <w:pPr>
              <w:jc w:val="left"/>
            </w:pPr>
            <w:r>
              <w:rPr>
                <w:sz w:val="19"/>
              </w:rPr>
              <w:t>CrossEncoder_advance</w:t>
            </w:r>
          </w:p>
        </w:tc>
        <w:tc>
          <w:tcPr>
            <w:tcW w:type="dxa" w:w="1584"/>
          </w:tcPr>
          <w:p>
            <w:pPr>
              <w:jc w:val="center"/>
            </w:pPr>
            <w:r>
              <w:rPr>
                <w:sz w:val="19"/>
              </w:rPr>
              <w:t>labeled</w:t>
            </w:r>
          </w:p>
        </w:tc>
        <w:tc>
          <w:tcPr>
            <w:tcW w:type="dxa" w:w="1872"/>
          </w:tcPr>
          <w:p>
            <w:pPr>
              <w:jc w:val="center"/>
            </w:pPr>
            <w:r>
              <w:rPr>
                <w:sz w:val="19"/>
              </w:rPr>
              <w:t>+0.028</w:t>
            </w:r>
          </w:p>
        </w:tc>
        <w:tc>
          <w:tcPr>
            <w:tcW w:type="dxa" w:w="1872"/>
          </w:tcPr>
          <w:p>
            <w:pPr>
              <w:jc w:val="center"/>
            </w:pPr>
            <w:r>
              <w:rPr>
                <w:sz w:val="19"/>
              </w:rPr>
              <w:t>+0.043</w:t>
            </w:r>
          </w:p>
        </w:tc>
        <w:tc>
          <w:tcPr>
            <w:tcW w:type="dxa" w:w="1152"/>
          </w:tcPr>
          <w:p>
            <w:pPr>
              <w:jc w:val="center"/>
            </w:pPr>
            <w:r>
              <w:rPr>
                <w:sz w:val="19"/>
              </w:rPr>
              <w:t>-55</w:t>
            </w:r>
          </w:p>
        </w:tc>
      </w:tr>
      <w:tr>
        <w:tc>
          <w:tcPr>
            <w:tcW w:type="dxa" w:w="2448"/>
          </w:tcPr>
          <w:p>
            <w:pPr>
              <w:jc w:val="left"/>
            </w:pPr>
            <w:r>
              <w:rPr>
                <w:sz w:val="19"/>
              </w:rPr>
              <w:t>CrossEncoder_advance</w:t>
            </w:r>
          </w:p>
        </w:tc>
        <w:tc>
          <w:tcPr>
            <w:tcW w:type="dxa" w:w="1584"/>
          </w:tcPr>
          <w:p>
            <w:pPr>
              <w:jc w:val="center"/>
            </w:pPr>
            <w:r>
              <w:rPr>
                <w:sz w:val="19"/>
              </w:rPr>
              <w:t>summary</w:t>
            </w:r>
          </w:p>
        </w:tc>
        <w:tc>
          <w:tcPr>
            <w:tcW w:type="dxa" w:w="1872"/>
          </w:tcPr>
          <w:p>
            <w:pPr>
              <w:jc w:val="center"/>
            </w:pPr>
            <w:r>
              <w:rPr>
                <w:sz w:val="19"/>
              </w:rPr>
              <w:t>-0.033</w:t>
            </w:r>
          </w:p>
        </w:tc>
        <w:tc>
          <w:tcPr>
            <w:tcW w:type="dxa" w:w="1872"/>
          </w:tcPr>
          <w:p>
            <w:pPr>
              <w:jc w:val="center"/>
            </w:pPr>
            <w:r>
              <w:rPr>
                <w:sz w:val="19"/>
              </w:rPr>
              <w:t>-0.043</w:t>
            </w:r>
          </w:p>
        </w:tc>
        <w:tc>
          <w:tcPr>
            <w:tcW w:type="dxa" w:w="1152"/>
          </w:tcPr>
          <w:p>
            <w:pPr>
              <w:jc w:val="center"/>
            </w:pPr>
            <w:r>
              <w:rPr>
                <w:sz w:val="19"/>
              </w:rPr>
              <w:t>-75</w:t>
            </w:r>
          </w:p>
        </w:tc>
      </w:tr>
    </w:tbl>
    <w:p>
      <w:pPr>
        <w:pStyle w:val="Heading1"/>
      </w:pPr>
      <w:r>
        <w:rPr>
          <w:color w:val="1F3864"/>
        </w:rPr>
        <w:t>5. Interpretation</w:t>
      </w:r>
    </w:p>
    <w:p>
      <w:pPr>
        <w:pStyle w:val="Heading2"/>
      </w:pPr>
      <w:r>
        <w:rPr>
          <w:color w:val="2F5496"/>
        </w:rPr>
        <w:t>5.1 Flattening text (“flat”) does not close the precision gap</w:t>
      </w:r>
    </w:p>
    <w:p>
      <w:r>
        <w:rPr>
          <w:b w:val="0"/>
          <w:i w:val="0"/>
          <w:sz w:val="21"/>
        </w:rPr>
        <w:t>As predicted in the handoff doc, removing the “|” separator and other structural symbols moves every metric by only a few hundredths at most, across all three methods. RRF is essentially unaffected (BM25 already strips punctuation). Text formatting is not the driver of the rerankers’ precision problem.</w:t>
      </w:r>
    </w:p>
    <w:p>
      <w:pPr>
        <w:pStyle w:val="Heading2"/>
      </w:pPr>
      <w:r>
        <w:rPr>
          <w:color w:val="2F5496"/>
        </w:rPr>
        <w:t>5.2 “labeled” text is a mild net positive for CrossEncoder_advance only</w:t>
      </w:r>
    </w:p>
    <w:p>
      <w:r>
        <w:rPr>
          <w:b w:val="0"/>
          <w:i w:val="0"/>
          <w:sz w:val="21"/>
        </w:rPr>
        <w:t>Explicit “title: … description: …” framing gives CrossEncoder_advance its best FP count of any variant (393, down from 448) and its second-best MCC. It has no meaningful effect on RRF or CrossEncoder_base.</w:t>
      </w:r>
    </w:p>
    <w:p>
      <w:pPr>
        <w:pStyle w:val="Heading2"/>
      </w:pPr>
      <w:r>
        <w:rPr>
          <w:color w:val="2F5496"/>
        </w:rPr>
        <w:t>5.3 Curated “summary” text is a net negative, and actively hurts RRF</w:t>
      </w:r>
    </w:p>
    <w:p>
      <w:r>
        <w:rPr>
          <w:b w:val="0"/>
          <w:i w:val="0"/>
          <w:sz w:val="21"/>
        </w:rPr>
        <w:t>Summary text degrades RRF substantially (MCC 0.680 → 0.548, FP 114 → 192). It improves aggregate CrossEncoder_base scores, but by inflating false positives 5× (15 → 80) — a recall/precision trade, not a clean win. For CrossEncoder_advance it cuts false positives (448 → 373) but MCC still drops.</w:t>
      </w:r>
    </w:p>
    <w:p>
      <w:r>
        <w:rPr>
          <w:b w:val="0"/>
          <w:i w:val="0"/>
          <w:sz w:val="21"/>
        </w:rPr>
        <w:t>Caveat: only 238/336 corpus docs (71%) have a curated summary; the remaining 98 fall back to the current text, making the “summary” corpus a mix of two different writing styles. That inconsistency — not necessarily the curated text’s quality — could account for some or all of RRF’s degradation, since RRF’s thresholds were calibrated against uniformly-formatted current text. This was not isolated in the current experiment; a follow-up should either backfill summaries for the missing 98 docs or restrict the eval to queries whose expected documents all have curated summaries.</w:t>
      </w:r>
    </w:p>
    <w:p>
      <w:pPr>
        <w:pStyle w:val="Heading2"/>
      </w:pPr>
      <w:r>
        <w:rPr>
          <w:color w:val="2F5496"/>
        </w:rPr>
        <w:t>5.4 The real driver remains the missing candidate-pool filter</w:t>
      </w:r>
    </w:p>
    <w:p>
      <w:r>
        <w:rPr>
          <w:b w:val="0"/>
          <w:i w:val="0"/>
          <w:sz w:val="21"/>
        </w:rPr>
        <w:t>None of the four text variants gets CrossEncoder_advance anywhere near RRF’s MCC (0.68 vs. a best of 0.31 for labeled). Every reranker variant still produces 5–40× more false positives than RRF. This is consistent with the handoff’s root-cause ranking: the dominant issue is architectural — combine_advance_reranking() reranks the full unfiltered candidate union instead of pre-filtering by threshold the way RRF does — not the text format.</w:t>
      </w:r>
    </w:p>
    <w:p>
      <w:pPr>
        <w:pStyle w:val="Heading1"/>
      </w:pPr>
      <w:r>
        <w:rPr>
          <w:color w:val="1F3864"/>
        </w:rPr>
        <w:t>6. Recommendations / Next Steps</w:t>
      </w:r>
    </w:p>
    <w:p>
      <w:pPr>
        <w:pStyle w:val="ListBullet"/>
      </w:pPr>
      <w:r>
        <w:rPr>
          <w:sz w:val="21"/>
        </w:rPr>
        <w:t>Implement the structural fix from the handoff: filter the candidate pool by threshold before reranking (mirror combine_manual_rrf’s pre-filtering inside combine_advance_reranking).</w:t>
      </w:r>
    </w:p>
    <w:p>
      <w:pPr>
        <w:pStyle w:val="ListBullet"/>
      </w:pPr>
      <w:r>
        <w:rPr>
          <w:sz w:val="21"/>
        </w:rPr>
        <w:t>If pursuing curated summary text further, first backfill the missing 98/336 docs (or restrict the eval query set) to remove the mixed-corpus confound before drawing conclusions.</w:t>
      </w:r>
    </w:p>
    <w:p>
      <w:pPr>
        <w:pStyle w:val="ListBullet"/>
      </w:pPr>
      <w:r>
        <w:rPr>
          <w:sz w:val="21"/>
        </w:rPr>
        <w:t>Adopt “labeled” formatting for the advanced reranker path — it is the only text change tested here with a consistent, if modest, positive effect (MCC +0.043, FP -55).</w:t>
      </w:r>
    </w:p>
    <w:p>
      <w:pPr>
        <w:pStyle w:val="ListBullet"/>
      </w:pPr>
      <w:r>
        <w:rPr>
          <w:sz w:val="21"/>
        </w:rPr>
        <w:t>Calibrate the reranker decision threshold (currently a fixed -0.1, inconsistent with the deployed -0.3) once the filtering fix is in place, rather than before — the current threshold was tuned against an unfiltered, over-admitting pool.</w:t>
      </w:r>
    </w:p>
    <w:p/>
    <w:p>
      <w:r>
        <w:rPr>
          <w:b w:val="0"/>
          <w:i/>
          <w:sz w:val="18"/>
        </w:rPr>
        <w:t>Generated from the flatten_ab_eval.py A/B harness, run as Kubernetes Jobs in the cyberfaces-dev namespace on Anvil (H100 GPU). Full per-query timing and raw stdout logs are preserved in the corresponding job pods (24h TTL) and local scratch logs.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