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/>
        </w:rPr>
        <w:t>2000.000000010000050</w:t>
      </w:r>
    </w:p>
    <w:p>
      <w:pPr>
        <w:pStyle w:val="Heading1"/>
        <w:jc w:val="center"/>
      </w:pPr>
      <w:r>
        <w:rPr>
          <w:rFonts w:ascii="Times New Roman" w:hAnsi="Times New Roman"/>
        </w:rPr>
        <w:t>I. ĐỌC HIỂU (3,0 ĐIỂM)</w:t>
      </w:r>
    </w:p>
    <w:p>
      <w:pPr>
        <w:jc w:val="both"/>
      </w:pPr>
      <w:r>
        <w:t>Đọc văn bản sau và trả lời câu hỏi:</w:t>
      </w:r>
    </w:p>
    <w:p>
      <w:pPr>
        <w:jc w:val="both"/>
      </w:pPr>
      <w:r>
        <w:t>được đồng "........... c cho chuyển trị nh, một người bạn n n nguyênănăn các nghi choa thó c ch nề "... Đươ đngương</w:t>
      </w:r>
    </w:p>
    <w:p>
      <w:pPr>
        <w:jc w:val="both"/>
      </w:pPr>
      <w:r>
        <w:t>03600000001</w:t>
      </w:r>
    </w:p>
    <w:p>
      <w:pPr>
        <w:jc w:val="both"/>
      </w:pPr>
      <w:r>
        <w:t>(Trích Nếu biết trăm năm là hữu hạn, Phạm Lữ Ân, NXB Hội nhà văn, 2015)</w:t>
      </w:r>
    </w:p>
    <w:p>
      <w:pPr>
        <w:jc w:val="both"/>
      </w:pPr>
      <w:r>
        <w:t>Câu 1: Xác định phép liên kết chính được sử dụng trong phần (2) của đoạn trích.</w:t>
      </w:r>
    </w:p>
    <w:p>
      <w:pPr>
        <w:jc w:val="both"/>
      </w:pPr>
      <w:r>
        <w:t>Câu 2: Trong đoạn trích, người bạn vong niên của tác giả thất vọng điều gì nhất về giới trẻ?</w:t>
      </w:r>
    </w:p>
    <w:p>
      <w:pPr>
        <w:jc w:val="both"/>
      </w:pPr>
      <w:r>
        <w:t>Câu 3: Anh/chi hiểu thế nào về câu: "Hưởng thụ thực sự là mong muốn giữ gìn, bảo vệ, bồi đắp.</w:t>
      </w:r>
    </w:p>
    <w:p>
      <w:pPr>
        <w:jc w:val="both"/>
      </w:pPr>
      <w:r>
        <w:t>Câu đ: Anh/chỉ có đồng tình với quan điểm... Tôi cũng không cho rằng sự ura hưởng thụ là một</w:t>
      </w:r>
    </w:p>
    <w:p>
      <w:pPr>
        <w:pStyle w:val="Heading1"/>
        <w:jc w:val="center"/>
      </w:pPr>
      <w:r>
        <w:rPr>
          <w:rFonts w:ascii="Times New Roman" w:hAnsi="Times New Roman"/>
        </w:rPr>
        <w:t>II. LÀM VĂN (7,0 ĐIỂM)</w:t>
      </w:r>
    </w:p>
    <w:p>
      <w:pPr>
        <w:pStyle w:val="Heading1"/>
        <w:jc w:val="center"/>
      </w:pPr>
      <w:r>
        <w:rPr>
          <w:rFonts w:ascii="Times New Roman" w:hAnsi="Times New Roman"/>
        </w:rPr>
        <w:t>Câu 1:</w:t>
      </w:r>
    </w:p>
    <w:p>
      <w:pPr>
        <w:jc w:val="both"/>
      </w:pPr>
      <w:r>
        <w:t>200 chỉ Từ nội dung đoan trích ở phần Đọc hiểu, Anh/ chỉ hãy viết một đoan văn ngắn (khoảng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