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Reunião 05-04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Começamos a WBS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Reunião 12-04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Definir IA: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Definir a estratégia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testar**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acoplar ao projeto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-testar-jogar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-testar-ajuste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