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1C6" w:rsidRPr="00A731C6" w:rsidRDefault="00A731C6" w:rsidP="00A731C6">
      <w:pPr>
        <w:spacing w:after="360" w:line="240" w:lineRule="auto"/>
        <w:outlineLvl w:val="0"/>
        <w:rPr>
          <w:rFonts w:ascii="Georgia" w:eastAsia="Times New Roman" w:hAnsi="Georgia" w:cs="Times New Roman"/>
          <w:b/>
          <w:bCs/>
          <w:color w:val="474747"/>
          <w:kern w:val="36"/>
          <w:sz w:val="42"/>
          <w:szCs w:val="42"/>
          <w:lang w:eastAsia="pt-BR"/>
        </w:rPr>
      </w:pPr>
      <w:r w:rsidRPr="00A731C6">
        <w:rPr>
          <w:rFonts w:ascii="Georgia" w:eastAsia="Times New Roman" w:hAnsi="Georgia" w:cs="Times New Roman"/>
          <w:b/>
          <w:bCs/>
          <w:color w:val="474747"/>
          <w:kern w:val="36"/>
          <w:sz w:val="42"/>
          <w:szCs w:val="42"/>
          <w:lang w:eastAsia="pt-BR"/>
        </w:rPr>
        <w:t>Locação de imóveis: quais são os principais problemas?</w:t>
      </w:r>
    </w:p>
    <w:p w:rsidR="00A731C6" w:rsidRPr="00A731C6" w:rsidRDefault="00A731C6" w:rsidP="00A73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31C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hyperlink r:id="rId4" w:history="1">
        <w:r w:rsidRPr="00A731C6">
          <w:rPr>
            <w:rFonts w:ascii="Times New Roman" w:eastAsia="Times New Roman" w:hAnsi="Times New Roman" w:cs="Times New Roman"/>
            <w:color w:val="474747"/>
            <w:sz w:val="20"/>
            <w:szCs w:val="20"/>
            <w:lang w:eastAsia="pt-BR"/>
          </w:rPr>
          <w:t>25/05/2017</w:t>
        </w:r>
      </w:hyperlink>
      <w:r w:rsidRPr="00A731C6">
        <w:rPr>
          <w:rFonts w:ascii="Times New Roman" w:eastAsia="Times New Roman" w:hAnsi="Times New Roman" w:cs="Times New Roman"/>
          <w:sz w:val="24"/>
          <w:szCs w:val="24"/>
          <w:lang w:eastAsia="pt-BR"/>
        </w:rPr>
        <w:t>  </w:t>
      </w:r>
      <w:hyperlink r:id="rId5" w:history="1">
        <w:r w:rsidRPr="00A731C6">
          <w:rPr>
            <w:rFonts w:ascii="Times New Roman" w:eastAsia="Times New Roman" w:hAnsi="Times New Roman" w:cs="Times New Roman"/>
            <w:color w:val="474747"/>
            <w:sz w:val="20"/>
            <w:szCs w:val="20"/>
            <w:lang w:eastAsia="pt-BR"/>
          </w:rPr>
          <w:t>Dicas</w:t>
        </w:r>
      </w:hyperlink>
      <w:r w:rsidRPr="00A731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6" w:tooltip="Like" w:history="1">
        <w:r w:rsidRPr="00A731C6">
          <w:rPr>
            <w:rFonts w:ascii="Times New Roman" w:eastAsia="Times New Roman" w:hAnsi="Times New Roman" w:cs="Times New Roman"/>
            <w:color w:val="474747"/>
            <w:sz w:val="24"/>
            <w:szCs w:val="24"/>
            <w:lang w:eastAsia="pt-BR"/>
          </w:rPr>
          <w:t> 5</w:t>
        </w:r>
      </w:hyperlink>
    </w:p>
    <w:p w:rsidR="00A731C6" w:rsidRPr="00A731C6" w:rsidRDefault="00A731C6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A locação de imóveis é um tema muito importante, especialmente em um país que possui um mercado imobiliário tão complexo e valorizado como o Brasil. Por conta dos altos valores envolvidos, especialmente nos grandes centros urbanos, não é raro vermos problemas na relação de inquilinato.</w:t>
      </w:r>
    </w:p>
    <w:p w:rsidR="00A731C6" w:rsidRPr="00A731C6" w:rsidRDefault="00A731C6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Diante dessa realidade, é muito importante saber quais são as 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highlight w:val="magenta"/>
          <w:lang w:eastAsia="pt-BR"/>
        </w:rPr>
        <w:t>maiores reclamações de ambas as partes para, dessa forma, apostar em um contrato melhor elaborado e fugir de dores de cabeça no futuro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.</w:t>
      </w:r>
    </w:p>
    <w:p w:rsidR="00A731C6" w:rsidRPr="00A731C6" w:rsidRDefault="00A731C6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Ficou interessado? Então confira o conteúdo a seguir e descubra tudo o que você precisa sobre o tema!</w:t>
      </w:r>
    </w:p>
    <w:p w:rsidR="00A731C6" w:rsidRPr="00A731C6" w:rsidRDefault="00A731C6" w:rsidP="00A731C6">
      <w:pPr>
        <w:spacing w:before="300" w:after="150" w:line="240" w:lineRule="auto"/>
        <w:outlineLvl w:val="1"/>
        <w:rPr>
          <w:rFonts w:ascii="Open Sans" w:eastAsia="Times New Roman" w:hAnsi="Open Sans" w:cs="Times New Roman"/>
          <w:b/>
          <w:bCs/>
          <w:color w:val="474747"/>
          <w:sz w:val="36"/>
          <w:szCs w:val="36"/>
          <w:lang w:eastAsia="pt-BR"/>
        </w:rPr>
      </w:pPr>
      <w:r w:rsidRPr="00A731C6">
        <w:rPr>
          <w:rFonts w:ascii="Open Sans" w:eastAsia="Times New Roman" w:hAnsi="Open Sans" w:cs="Times New Roman"/>
          <w:b/>
          <w:bCs/>
          <w:color w:val="474747"/>
          <w:sz w:val="36"/>
          <w:szCs w:val="36"/>
          <w:highlight w:val="green"/>
          <w:lang w:eastAsia="pt-BR"/>
        </w:rPr>
        <w:t>Responsabilidades do proprietário</w:t>
      </w:r>
    </w:p>
    <w:p w:rsidR="00A731C6" w:rsidRPr="00A731C6" w:rsidRDefault="00A731C6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Uma das questões que mais causa problemas na hora da locação de </w:t>
      </w:r>
      <w:hyperlink r:id="rId7" w:history="1">
        <w:r w:rsidRPr="00A731C6">
          <w:rPr>
            <w:rFonts w:ascii="Open Sans" w:eastAsia="Times New Roman" w:hAnsi="Open Sans" w:cs="Times New Roman"/>
            <w:color w:val="04066E"/>
            <w:sz w:val="21"/>
            <w:szCs w:val="21"/>
            <w:lang w:eastAsia="pt-BR"/>
          </w:rPr>
          <w:t>imóveis</w:t>
        </w:r>
      </w:hyperlink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 diz respeito às responsabilidades e às obrigações do proprietário. Existe uma legislação específica sobre o tema, chamada de “Lei do Inquilinato”, cuja elaboração se deu com o intuito de normatizar e regulamentar essa tão complexa relação.</w:t>
      </w:r>
    </w:p>
    <w:p w:rsidR="00A731C6" w:rsidRPr="00A731C6" w:rsidRDefault="00A731C6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Entre suas disposições, ela diz que a 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highlight w:val="green"/>
          <w:lang w:eastAsia="pt-BR"/>
        </w:rPr>
        <w:t>pessoa ou empresa responsável pelo aluguel precisa, obrigatoriamente, entregar a unidade em boas condições de uso. Isso inclui o funcionamento adequado dos serviços básicos e a ausência de qualquer dano que traga risco à saúde dos moradores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.</w:t>
      </w:r>
    </w:p>
    <w:p w:rsidR="00A731C6" w:rsidRPr="00A731C6" w:rsidRDefault="00A731C6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É o proprietário também que deve arcar com o pagamento de taxas extras e do seguro complementar.</w:t>
      </w:r>
    </w:p>
    <w:p w:rsidR="00A731C6" w:rsidRPr="00A731C6" w:rsidRDefault="00A731C6" w:rsidP="00A731C6">
      <w:pPr>
        <w:spacing w:before="300" w:after="150" w:line="240" w:lineRule="auto"/>
        <w:outlineLvl w:val="1"/>
        <w:rPr>
          <w:rFonts w:ascii="Open Sans" w:eastAsia="Times New Roman" w:hAnsi="Open Sans" w:cs="Times New Roman"/>
          <w:b/>
          <w:bCs/>
          <w:color w:val="474747"/>
          <w:sz w:val="36"/>
          <w:szCs w:val="36"/>
          <w:lang w:eastAsia="pt-BR"/>
        </w:rPr>
      </w:pPr>
      <w:r w:rsidRPr="00A731C6">
        <w:rPr>
          <w:rFonts w:ascii="Open Sans" w:eastAsia="Times New Roman" w:hAnsi="Open Sans" w:cs="Times New Roman"/>
          <w:b/>
          <w:bCs/>
          <w:color w:val="474747"/>
          <w:sz w:val="36"/>
          <w:szCs w:val="36"/>
          <w:highlight w:val="cyan"/>
          <w:lang w:eastAsia="pt-BR"/>
        </w:rPr>
        <w:t>Responsabilidades do locatário</w:t>
      </w:r>
    </w:p>
    <w:p w:rsidR="00A731C6" w:rsidRPr="00A731C6" w:rsidRDefault="00A731C6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O inquilino precisa seguir algumas regras impostas pela Lei do Inquilinato, sob risco de encarar até uma indesejada ação de despejo. O item mais importante, geralmente, dispõe que o 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highlight w:val="cyan"/>
          <w:lang w:eastAsia="pt-BR"/>
        </w:rPr>
        <w:t>pagamento do aluguel não pode sofrer atrasos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.</w:t>
      </w:r>
    </w:p>
    <w:p w:rsidR="00A731C6" w:rsidRPr="00A731C6" w:rsidRDefault="00A731C6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Da mesma maneira que o proprietário precisa oferecer um imóvel em boas condições de uso, é 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highlight w:val="cyan"/>
          <w:lang w:eastAsia="pt-BR"/>
        </w:rPr>
        <w:t>obrigação dos moradores cuidar bem do local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. Além disso, são eles que arcam com as despesas ordinárias como luz, água, taxa de condomínio e IPTU. No momento da saída, o locatário deve 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highlight w:val="cyan"/>
          <w:lang w:eastAsia="pt-BR"/>
        </w:rPr>
        <w:t>entregar a unidade nas mesmas condições que recebeu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.</w:t>
      </w:r>
    </w:p>
    <w:p w:rsidR="00A731C6" w:rsidRPr="00A731C6" w:rsidRDefault="00A731C6" w:rsidP="00A731C6">
      <w:pPr>
        <w:spacing w:before="300" w:after="150" w:line="240" w:lineRule="auto"/>
        <w:outlineLvl w:val="1"/>
        <w:rPr>
          <w:rFonts w:ascii="Open Sans" w:eastAsia="Times New Roman" w:hAnsi="Open Sans" w:cs="Times New Roman"/>
          <w:b/>
          <w:bCs/>
          <w:color w:val="474747"/>
          <w:sz w:val="36"/>
          <w:szCs w:val="36"/>
          <w:lang w:eastAsia="pt-BR"/>
        </w:rPr>
      </w:pPr>
      <w:r w:rsidRPr="00A731C6">
        <w:rPr>
          <w:rFonts w:ascii="Open Sans" w:eastAsia="Times New Roman" w:hAnsi="Open Sans" w:cs="Times New Roman"/>
          <w:b/>
          <w:bCs/>
          <w:color w:val="474747"/>
          <w:sz w:val="36"/>
          <w:szCs w:val="36"/>
          <w:highlight w:val="magenta"/>
          <w:lang w:eastAsia="pt-BR"/>
        </w:rPr>
        <w:t>Escolha da garantia locatícia</w:t>
      </w:r>
    </w:p>
    <w:p w:rsidR="00A731C6" w:rsidRPr="00A731C6" w:rsidRDefault="00A731C6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Outro tema bastante polêmico na locação de imóveis é a escolha da garantia locatícia. A sua 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highlight w:val="magenta"/>
          <w:lang w:eastAsia="pt-BR"/>
        </w:rPr>
        <w:t>exigência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é um 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highlight w:val="magenta"/>
          <w:lang w:eastAsia="pt-BR"/>
        </w:rPr>
        <w:t>direito assegurado do proprietário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, mas não é raro que ela acabe atrapalhando um pouco o início dessa relação. A 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highlight w:val="magenta"/>
          <w:lang w:eastAsia="pt-BR"/>
        </w:rPr>
        <w:t>mais comum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do mercado, que é a garantia de um 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highlight w:val="magenta"/>
          <w:lang w:eastAsia="pt-BR"/>
        </w:rPr>
        <w:t>fiador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, pode acabar </w:t>
      </w:r>
      <w:r w:rsidRPr="00A731C6">
        <w:rPr>
          <w:rFonts w:ascii="Open Sans" w:eastAsia="Times New Roman" w:hAnsi="Open Sans" w:cs="Times New Roman"/>
          <w:b/>
          <w:color w:val="474747"/>
          <w:sz w:val="21"/>
          <w:szCs w:val="21"/>
          <w:highlight w:val="magenta"/>
          <w:u w:val="single"/>
          <w:lang w:eastAsia="pt-BR"/>
        </w:rPr>
        <w:t>atrasando a assinatura do contrato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.  </w:t>
      </w:r>
    </w:p>
    <w:p w:rsidR="00A731C6" w:rsidRPr="00A731C6" w:rsidRDefault="00A731C6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 w:rsidRPr="00A731C6">
        <w:rPr>
          <w:rFonts w:ascii="Open Sans" w:eastAsia="Times New Roman" w:hAnsi="Open Sans" w:cs="Times New Roman"/>
          <w:color w:val="474747"/>
          <w:sz w:val="21"/>
          <w:szCs w:val="21"/>
          <w:highlight w:val="magenta"/>
          <w:lang w:eastAsia="pt-BR"/>
        </w:rPr>
        <w:t>Outra opção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é o 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highlight w:val="magenta"/>
          <w:lang w:eastAsia="pt-BR"/>
        </w:rPr>
        <w:t>depósito caução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, que consiste em colocar o </w:t>
      </w:r>
      <w:hyperlink r:id="rId8" w:history="1">
        <w:r w:rsidRPr="00A731C6">
          <w:rPr>
            <w:rFonts w:ascii="Open Sans" w:eastAsia="Times New Roman" w:hAnsi="Open Sans" w:cs="Times New Roman"/>
            <w:color w:val="04066E"/>
            <w:sz w:val="21"/>
            <w:szCs w:val="21"/>
            <w:lang w:eastAsia="pt-BR"/>
          </w:rPr>
          <w:t>valor</w:t>
        </w:r>
      </w:hyperlink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 de alguns aluguéis em uma conta, cujo conteúdo será utilizado em caso de danos ou atrasos. Já o 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highlight w:val="magenta"/>
          <w:lang w:eastAsia="pt-BR"/>
        </w:rPr>
        <w:t>seguro fiança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 é 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highlight w:val="magenta"/>
          <w:lang w:eastAsia="pt-BR"/>
        </w:rPr>
        <w:t>outra opção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que está em crescimento, no qual o 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highlight w:val="magenta"/>
          <w:lang w:eastAsia="pt-BR"/>
        </w:rPr>
        <w:t>contratante é intermediado por uma seguradora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. </w:t>
      </w:r>
    </w:p>
    <w:p w:rsidR="00A731C6" w:rsidRPr="00A731C6" w:rsidRDefault="00A731C6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 w:rsidRPr="00A731C6">
        <w:rPr>
          <w:rFonts w:ascii="Open Sans" w:eastAsia="Times New Roman" w:hAnsi="Open Sans" w:cs="Times New Roman"/>
          <w:color w:val="474747"/>
          <w:sz w:val="21"/>
          <w:szCs w:val="21"/>
          <w:highlight w:val="magenta"/>
          <w:lang w:eastAsia="pt-BR"/>
        </w:rPr>
        <w:t>Há, ainda, o título de capitalização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, no qual o valor a ser depositado é definido pelo locador e pela imobiliária e fica rendendo no banco.</w:t>
      </w:r>
    </w:p>
    <w:p w:rsidR="00A731C6" w:rsidRPr="00A731C6" w:rsidRDefault="00A731C6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Independentemente da escolha, 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highlight w:val="magenta"/>
          <w:lang w:eastAsia="pt-BR"/>
        </w:rPr>
        <w:t>o ideal é chegar a um consenso que não prejudique nenhum lado</w:t>
      </w: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da história.</w:t>
      </w:r>
    </w:p>
    <w:p w:rsidR="00A731C6" w:rsidRPr="00A731C6" w:rsidRDefault="00A731C6" w:rsidP="00A731C6">
      <w:pPr>
        <w:spacing w:before="300" w:after="150" w:line="240" w:lineRule="auto"/>
        <w:outlineLvl w:val="1"/>
        <w:rPr>
          <w:rFonts w:ascii="Open Sans" w:eastAsia="Times New Roman" w:hAnsi="Open Sans" w:cs="Times New Roman"/>
          <w:b/>
          <w:bCs/>
          <w:color w:val="474747"/>
          <w:sz w:val="36"/>
          <w:szCs w:val="36"/>
          <w:lang w:eastAsia="pt-BR"/>
        </w:rPr>
      </w:pPr>
      <w:r w:rsidRPr="00784B49">
        <w:rPr>
          <w:rFonts w:ascii="Open Sans" w:eastAsia="Times New Roman" w:hAnsi="Open Sans" w:cs="Times New Roman"/>
          <w:b/>
          <w:bCs/>
          <w:color w:val="474747"/>
          <w:sz w:val="36"/>
          <w:szCs w:val="36"/>
          <w:highlight w:val="yellow"/>
          <w:lang w:eastAsia="pt-BR"/>
        </w:rPr>
        <w:lastRenderedPageBreak/>
        <w:t>Elaboração do contrato</w:t>
      </w:r>
    </w:p>
    <w:p w:rsidR="00A731C6" w:rsidRPr="00A731C6" w:rsidRDefault="00A731C6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Por fim, </w:t>
      </w:r>
      <w:r w:rsidRPr="00784B49">
        <w:rPr>
          <w:rFonts w:ascii="Open Sans" w:eastAsia="Times New Roman" w:hAnsi="Open Sans" w:cs="Times New Roman"/>
          <w:color w:val="474747"/>
          <w:sz w:val="21"/>
          <w:szCs w:val="21"/>
          <w:highlight w:val="yellow"/>
          <w:lang w:eastAsia="pt-BR"/>
        </w:rPr>
        <w:t>não podemos falar de problemas na locação de imóveis sem falar no </w:t>
      </w:r>
      <w:hyperlink r:id="rId9" w:history="1">
        <w:r w:rsidRPr="00784B49">
          <w:rPr>
            <w:rFonts w:ascii="Open Sans" w:eastAsia="Times New Roman" w:hAnsi="Open Sans" w:cs="Times New Roman"/>
            <w:color w:val="04066E"/>
            <w:sz w:val="21"/>
            <w:szCs w:val="21"/>
            <w:highlight w:val="yellow"/>
            <w:lang w:eastAsia="pt-BR"/>
          </w:rPr>
          <w:t>contrato</w:t>
        </w:r>
      </w:hyperlink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. O tempo médio costuma ser de três anos, mas acordos mais curtos podem ser negociados. Já os reajustes só podem ser feitos baseados em um índice previamente estipulado, que costuma ser a variação do IGP-M (Índice Geral de Preços ao Mercado).</w:t>
      </w:r>
    </w:p>
    <w:p w:rsidR="00A731C6" w:rsidRPr="00A731C6" w:rsidRDefault="00A731C6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Se o locatário quiser deixar a propriedade antes do prazo, ele tem 30 dias para avisar o proprietário e pagar a multa que também deve ter sido combinada anteriormente, no papel. Isso deve ser feito por escrito e protocolado com o dono ou a imobiliária. Vale lembrar que não é obrigatório pagar essa quantia se houver transferência no emprego.</w:t>
      </w:r>
    </w:p>
    <w:p w:rsidR="00A731C6" w:rsidRDefault="00A731C6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Esses são alguns dos principais problemas na locação de imóveis. Gostou do conteúdo? Para ter acesso a mais artigos como este, não deixe de assinar a </w:t>
      </w:r>
      <w:proofErr w:type="gramStart"/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nossa newsletter</w:t>
      </w:r>
      <w:proofErr w:type="gramEnd"/>
      <w:r w:rsidRPr="00A731C6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!</w:t>
      </w:r>
    </w:p>
    <w:p w:rsidR="002F2244" w:rsidRDefault="002F2244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</w:p>
    <w:p w:rsidR="002F2244" w:rsidRDefault="002F2244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</w:p>
    <w:p w:rsidR="002F2244" w:rsidRPr="00A731C6" w:rsidRDefault="002F2244" w:rsidP="00A731C6">
      <w:pPr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 w:rsidRPr="002F2244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http://www.blog.rkimoveis.com.br/locacao-de-imoveis-quais-sao-os-principais-problemas/</w:t>
      </w:r>
      <w:bookmarkStart w:id="0" w:name="_GoBack"/>
      <w:bookmarkEnd w:id="0"/>
    </w:p>
    <w:p w:rsidR="00EB6C71" w:rsidRDefault="00EB6C71"/>
    <w:sectPr w:rsidR="00EB6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C6"/>
    <w:rsid w:val="000349AF"/>
    <w:rsid w:val="00077249"/>
    <w:rsid w:val="000779ED"/>
    <w:rsid w:val="000F5F4B"/>
    <w:rsid w:val="00113467"/>
    <w:rsid w:val="001305D0"/>
    <w:rsid w:val="00162DE6"/>
    <w:rsid w:val="001A4742"/>
    <w:rsid w:val="001C3BC9"/>
    <w:rsid w:val="00210027"/>
    <w:rsid w:val="00213546"/>
    <w:rsid w:val="0023427E"/>
    <w:rsid w:val="00273EDD"/>
    <w:rsid w:val="00294A22"/>
    <w:rsid w:val="002A38B5"/>
    <w:rsid w:val="002F2244"/>
    <w:rsid w:val="0030225D"/>
    <w:rsid w:val="00323F18"/>
    <w:rsid w:val="0035258B"/>
    <w:rsid w:val="003B2BBD"/>
    <w:rsid w:val="003D3CD6"/>
    <w:rsid w:val="00403E95"/>
    <w:rsid w:val="00430E47"/>
    <w:rsid w:val="004729F3"/>
    <w:rsid w:val="004A019F"/>
    <w:rsid w:val="004D42CD"/>
    <w:rsid w:val="004E6DCA"/>
    <w:rsid w:val="00514397"/>
    <w:rsid w:val="00531F03"/>
    <w:rsid w:val="005572AC"/>
    <w:rsid w:val="005B2DD5"/>
    <w:rsid w:val="005E5EF2"/>
    <w:rsid w:val="006378FC"/>
    <w:rsid w:val="00685934"/>
    <w:rsid w:val="007101FA"/>
    <w:rsid w:val="007150BE"/>
    <w:rsid w:val="007624E9"/>
    <w:rsid w:val="00784B49"/>
    <w:rsid w:val="007C7E95"/>
    <w:rsid w:val="008656C0"/>
    <w:rsid w:val="00892499"/>
    <w:rsid w:val="008D1C06"/>
    <w:rsid w:val="0091706C"/>
    <w:rsid w:val="009226B6"/>
    <w:rsid w:val="0093013C"/>
    <w:rsid w:val="00940998"/>
    <w:rsid w:val="009902C6"/>
    <w:rsid w:val="00991892"/>
    <w:rsid w:val="0099336A"/>
    <w:rsid w:val="009D781D"/>
    <w:rsid w:val="009F6A3F"/>
    <w:rsid w:val="00A15BDB"/>
    <w:rsid w:val="00A7118C"/>
    <w:rsid w:val="00A731C6"/>
    <w:rsid w:val="00A73955"/>
    <w:rsid w:val="00A8461F"/>
    <w:rsid w:val="00A970EF"/>
    <w:rsid w:val="00AB588A"/>
    <w:rsid w:val="00AD1C25"/>
    <w:rsid w:val="00B02E09"/>
    <w:rsid w:val="00B16E77"/>
    <w:rsid w:val="00B17C97"/>
    <w:rsid w:val="00B419AC"/>
    <w:rsid w:val="00B5354D"/>
    <w:rsid w:val="00B82D6F"/>
    <w:rsid w:val="00B86A54"/>
    <w:rsid w:val="00BF767D"/>
    <w:rsid w:val="00C66525"/>
    <w:rsid w:val="00CD0882"/>
    <w:rsid w:val="00CD40B7"/>
    <w:rsid w:val="00CE445B"/>
    <w:rsid w:val="00CF00A0"/>
    <w:rsid w:val="00CF31AD"/>
    <w:rsid w:val="00CF5B5C"/>
    <w:rsid w:val="00D06C0B"/>
    <w:rsid w:val="00D73054"/>
    <w:rsid w:val="00D75705"/>
    <w:rsid w:val="00DE205D"/>
    <w:rsid w:val="00DE5F1E"/>
    <w:rsid w:val="00E25575"/>
    <w:rsid w:val="00E753F4"/>
    <w:rsid w:val="00E843C9"/>
    <w:rsid w:val="00EA4FDB"/>
    <w:rsid w:val="00EB6A44"/>
    <w:rsid w:val="00EB6C71"/>
    <w:rsid w:val="00EB7AB6"/>
    <w:rsid w:val="00F02BC6"/>
    <w:rsid w:val="00F32F31"/>
    <w:rsid w:val="00F35D97"/>
    <w:rsid w:val="00F37DE8"/>
    <w:rsid w:val="00F67A14"/>
    <w:rsid w:val="00FE4C15"/>
    <w:rsid w:val="00F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75A4"/>
  <w15:chartTrackingRefBased/>
  <w15:docId w15:val="{B639B185-FB75-43F9-8A19-C0E7847D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731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73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31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731C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osted-on">
    <w:name w:val="posted-on"/>
    <w:basedOn w:val="Fontepargpadro"/>
    <w:rsid w:val="00A731C6"/>
  </w:style>
  <w:style w:type="character" w:styleId="Hyperlink">
    <w:name w:val="Hyperlink"/>
    <w:basedOn w:val="Fontepargpadro"/>
    <w:uiPriority w:val="99"/>
    <w:semiHidden/>
    <w:unhideWhenUsed/>
    <w:rsid w:val="00A731C6"/>
    <w:rPr>
      <w:color w:val="0000FF"/>
      <w:u w:val="single"/>
    </w:rPr>
  </w:style>
  <w:style w:type="character" w:customStyle="1" w:styleId="cat-links">
    <w:name w:val="cat-links"/>
    <w:basedOn w:val="Fontepargpadro"/>
    <w:rsid w:val="00A731C6"/>
  </w:style>
  <w:style w:type="character" w:customStyle="1" w:styleId="like-link">
    <w:name w:val="like-link"/>
    <w:basedOn w:val="Fontepargpadro"/>
    <w:rsid w:val="00A731C6"/>
  </w:style>
  <w:style w:type="paragraph" w:styleId="NormalWeb">
    <w:name w:val="Normal (Web)"/>
    <w:basedOn w:val="Normal"/>
    <w:uiPriority w:val="99"/>
    <w:semiHidden/>
    <w:unhideWhenUsed/>
    <w:rsid w:val="00A7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2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g.rkimoveis.com.br/conheca-3-formas-de-investir-dinheiro-com-seguranca/?utm_source=blog&amp;utm_campaign=rc_blogpo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log.rkimoveis.com.br/voce-sabe-como-escolher-um-imovel-veja-nossas-5-dicas/?utm_source=blog&amp;utm_campaign=rc_blogpo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log.rkimoveis.com.br/locacao-de-imoveis-quais-sao-os-principais-problema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log.rkimoveis.com.br/category/dica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log.rkimoveis.com.br/locacao-de-imoveis-quais-sao-os-principais-problemas/" TargetMode="External"/><Relationship Id="rId9" Type="http://schemas.openxmlformats.org/officeDocument/2006/relationships/hyperlink" Target="http://www.blog.rkimoveis.com.br/entenda-a-importancia-da-documentacao-de-compra-de-um-imovel-na-praia/?utm_source=blog&amp;utm_campaign=rc_blogpos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707</Words>
  <Characters>3818</Characters>
  <Application>Microsoft Office Word</Application>
  <DocSecurity>0</DocSecurity>
  <Lines>31</Lines>
  <Paragraphs>9</Paragraphs>
  <ScaleCrop>false</ScaleCrop>
  <Company>Petrobras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 Anna da Silva Pereira</dc:creator>
  <cp:keywords/>
  <dc:description/>
  <cp:lastModifiedBy>Rafael Sant Anna da Silva Pereira</cp:lastModifiedBy>
  <cp:revision>4</cp:revision>
  <dcterms:created xsi:type="dcterms:W3CDTF">2018-07-29T00:25:00Z</dcterms:created>
  <dcterms:modified xsi:type="dcterms:W3CDTF">2018-07-29T00:35:00Z</dcterms:modified>
</cp:coreProperties>
</file>