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맑은 고딕" w:eastAsia="맑은 고딕" w:hAnsi="맑은 고딕"/>
          <w:b w:val="false"/>
          <w:bCs w:val="false"/>
          <w:color w:val="9A3324"/>
          <w:spacing w:val="24"/>
          <w:sz w:val="17"/>
          <w:szCs w:val="17"/>
        </w:rPr>
        <w:t xml:space="preserve">대외비   ·   경영진 배포용</w:t>
      </w:r>
    </w:p>
    <w:p>
      <w:pPr>
        <w:spacing w:after="160" w:before="0"/>
      </w:pPr>
    </w:p>
    <w:tbl>
      <w:tblPr>
        <w:tblW w:type="dxa" w:w="36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60"/>
          <w:left w:type="dxa" w:w="60"/>
          <w:bottom w:type="dxa" w:w="60"/>
          <w:right w:type="dxa" w:w="60"/>
        </w:tblCellMar>
      </w:tblPr>
      <w:tblGrid>
        <w:gridCol w:w="1200"/>
        <w:gridCol w:w="1200"/>
        <w:gridCol w:w="1200"/>
      </w:tblGrid>
      <w:tr>
        <w:tc>
          <w:tcPr>
            <w:tcW w:type="dxa" w:w="12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6B7278"/>
                <w:spacing w:val="16"/>
                <w:sz w:val="17"/>
                <w:szCs w:val="17"/>
              </w:rPr>
              <w:t xml:space="preserve">작성</w:t>
            </w:r>
          </w:p>
        </w:tc>
        <w:tc>
          <w:tcPr>
            <w:tcW w:type="dxa" w:w="12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6B7278"/>
                <w:spacing w:val="16"/>
                <w:sz w:val="17"/>
                <w:szCs w:val="17"/>
              </w:rPr>
              <w:t xml:space="preserve">검토</w:t>
            </w:r>
          </w:p>
        </w:tc>
        <w:tc>
          <w:tcPr>
            <w:tcW w:type="dxa" w:w="12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6B7278"/>
                <w:spacing w:val="16"/>
                <w:sz w:val="17"/>
                <w:szCs w:val="17"/>
              </w:rPr>
              <w:t xml:space="preserve">승인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6B7278"/>
                <w:sz w:val="17"/>
                <w:szCs w:val="17"/>
              </w:rPr>
              <w:t xml:space="preserve">재경팀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6B7278"/>
                <w:sz w:val="17"/>
                <w:szCs w:val="17"/>
              </w:rPr>
              <w:t xml:space="preserve">경영관리본부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6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6B7278"/>
                <w:sz w:val="17"/>
                <w:szCs w:val="17"/>
              </w:rPr>
              <w:t xml:space="preserve">대표이사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5181C" w:sz="6"/>
              <w:right w:val="none" w:color="FFFFFF" w:sz="0"/>
            </w:tcBorders>
          </w:tcPr>
          <w:p>
            <w:pPr>
              <w:spacing w:after="140" w:before="2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15181C"/>
                <w:sz w:val="19"/>
                <w:szCs w:val="19"/>
              </w:rPr>
              <w:t xml:space="preserve">이현주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5181C" w:sz="6"/>
              <w:right w:val="none" w:color="FFFFFF" w:sz="0"/>
            </w:tcBorders>
          </w:tcPr>
          <w:p>
            <w:pPr>
              <w:spacing w:after="140" w:before="2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15181C"/>
                <w:sz w:val="19"/>
                <w:szCs w:val="19"/>
              </w:rPr>
              <w:t xml:space="preserve">박도현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5181C" w:sz="6"/>
              <w:right w:val="none" w:color="FFFFFF" w:sz="0"/>
            </w:tcBorders>
          </w:tcPr>
          <w:p>
            <w:pPr>
              <w:spacing w:after="140" w:before="20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15181C"/>
                <w:sz w:val="19"/>
                <w:szCs w:val="19"/>
              </w:rPr>
              <w:t xml:space="preserve">김성호</w:t>
            </w:r>
          </w:p>
        </w:tc>
      </w:tr>
    </w:tbl>
    <w:p>
      <w:pPr>
        <w:spacing w:after="1900" w:before="0"/>
      </w:pPr>
    </w:p>
    <w:p>
      <w:pPr>
        <w:spacing w:after="140" w:before="0"/>
      </w:pPr>
      <w:r>
        <w:rPr>
          <w:rFonts w:ascii="맑은 고딕" w:eastAsia="맑은 고딕" w:hAnsi="맑은 고딕"/>
          <w:b/>
          <w:bCs/>
          <w:color w:val="15181C"/>
          <w:sz w:val="48"/>
          <w:szCs w:val="48"/>
        </w:rPr>
        <w:t xml:space="preserve">2025 경영실적 분석</w:t>
      </w:r>
    </w:p>
    <w:p>
      <w:pPr>
        <w:spacing w:after="0" w:before="0"/>
      </w:pPr>
      <w:r>
        <w:rPr>
          <w:rFonts w:ascii="맑은 고딕" w:eastAsia="맑은 고딕" w:hAnsi="맑은 고딕"/>
          <w:b w:val="false"/>
          <w:bCs w:val="false"/>
          <w:color w:val="6B7278"/>
          <w:sz w:val="20"/>
          <w:szCs w:val="20"/>
        </w:rPr>
        <w:t xml:space="preserve">(주)테크온 연결 기준  ·  안산 본사 / TECH-ON VINA (박닌)</w:t>
      </w:r>
    </w:p>
    <w:p>
      <w:pPr>
        <w:spacing w:after="1500" w:before="0"/>
      </w:pPr>
    </w:p>
    <w:tbl>
      <w:tblPr>
        <w:tblW w:type="dxa" w:w="5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50"/>
          <w:left w:type="dxa" w:w="0"/>
          <w:bottom w:type="dxa" w:w="50"/>
          <w:right w:type="dxa" w:w="60"/>
        </w:tblCellMar>
      </w:tblPr>
      <w:tblGrid>
        <w:gridCol w:w="1700"/>
        <w:gridCol w:w="34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9BA1A7"/>
                <w:spacing w:val="14"/>
                <w:sz w:val="17"/>
                <w:szCs w:val="17"/>
              </w:rPr>
              <w:t xml:space="preserve">보고 기간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2025.01.01 – 2025.12.31 (제28기)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9BA1A7"/>
                <w:spacing w:val="14"/>
                <w:sz w:val="17"/>
                <w:szCs w:val="17"/>
              </w:rPr>
              <w:t xml:space="preserve">비교 기간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2024.01.01 – 2024.12.31 (제27기)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9BA1A7"/>
                <w:spacing w:val="14"/>
                <w:sz w:val="17"/>
                <w:szCs w:val="17"/>
              </w:rPr>
              <w:t xml:space="preserve">회계 기준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일반기업회계기준(K-GAAP), 연결 기준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9BA1A7"/>
                <w:spacing w:val="14"/>
                <w:sz w:val="17"/>
                <w:szCs w:val="17"/>
              </w:rPr>
              <w:t xml:space="preserve">작성 부서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경영관리본부 재경팀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9BA1A7"/>
                <w:spacing w:val="14"/>
                <w:sz w:val="17"/>
                <w:szCs w:val="17"/>
              </w:rPr>
              <w:t xml:space="preserve">작성일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2026년 2월 13일 (외부감사 전 확정치)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9BA1A7"/>
                <w:spacing w:val="14"/>
                <w:sz w:val="17"/>
                <w:szCs w:val="17"/>
              </w:rPr>
              <w:t xml:space="preserve">문서번호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TO-FIN-2026-003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9BA1A7"/>
                <w:spacing w:val="14"/>
                <w:sz w:val="17"/>
                <w:szCs w:val="17"/>
              </w:rPr>
              <w:t xml:space="preserve">배포 범위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대표이사, 등기임원, 본부장 (7부 한정)</w:t>
            </w:r>
          </w:p>
        </w:tc>
      </w:tr>
    </w:tbl>
    <w:p>
      <w:pPr>
        <w:sectPr>
          <w:pgSz w:w="11906" w:h="16838" w:orient="portrait"/>
          <w:pgMar w:top="1420" w:right="1418" w:bottom="1300" w:left="1418" w:header="720" w:footer="720" w:gutter="0"/>
          <w:pgNumType/>
          <w:docGrid w:linePitch="360"/>
        </w:sectPr>
      </w:pPr>
    </w:p>
    <w:p>
      <w:pPr>
        <w:keepNext/>
        <w:spacing w:after="200" w:before="560"/>
      </w:pP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목차</w:t>
      </w:r>
    </w:p>
    <w:p>
      <w:pPr>
        <w:spacing w:after="80" w:before="0"/>
      </w:pP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요약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Executive Summary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3</w:t>
      </w: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1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재무 실적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4</w:t>
      </w: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2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수익성 분석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6</w:t>
      </w: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3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생산·품질 지표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7</w:t>
      </w: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4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거점별 손익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8</w:t>
      </w: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5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부문·고객 구성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9</w:t>
      </w: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6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재무구조와 운전자본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10</w:t>
      </w: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7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리스크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11</w:t>
      </w:r>
    </w:p>
    <w:p>
      <w:pPr>
        <w:tabs>
          <w:tab w:val="left" w:pos="900"/>
          <w:tab w:val="right" w:pos="9070"/>
        </w:tabs>
        <w:spacing w:after="160" w:before="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8</w:t>
      </w:r>
      <w:r>
        <w:rPr>
          <w:rFonts w:ascii="맑은 고딕" w:eastAsia="맑은 고딕" w:hAnsi="맑은 고딕"/>
          <w:color w:val="15181C"/>
          <w:sz w:val="20"/>
          <w:szCs w:val="20"/>
        </w:rPr>
        <w:tab/>
        <w:t xml:space="preserve">결론 및 건의</w:t>
      </w:r>
      <w:r>
        <w:rPr>
          <w:rFonts w:ascii="맑은 고딕" w:eastAsia="맑은 고딕" w:hAnsi="맑은 고딕"/>
          <w:color w:val="6B7278"/>
          <w:sz w:val="19"/>
          <w:szCs w:val="19"/>
        </w:rPr>
        <w:tab/>
        <w:t xml:space="preserve">12</w:t>
      </w:r>
    </w:p>
    <w:p>
      <w:pPr>
        <w:spacing w:after="400" w:before="0"/>
      </w:pPr>
    </w:p>
    <w:p>
      <w:pPr>
        <w:keepNext/>
        <w:spacing w:after="120" w:before="30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표기 기준</w:t>
      </w:r>
    </w:p>
    <w:p>
      <w:pPr>
        <w:spacing w:after="100" w:before="0" w:line="300" w:lineRule="auto"/>
        <w:ind w:left="460" w:hanging="460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01</w:t>
      </w:r>
      <w:r>
        <w:rPr>
          <w:rFonts w:ascii="맑은 고딕" w:eastAsia="맑은 고딕" w:hAnsi="맑은 고딕"/>
          <w:b w:val="false"/>
          <w:bCs w:val="false"/>
          <w:color w:val="32373C"/>
          <w:sz w:val="17"/>
          <w:szCs w:val="17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금액 단위는 백만원이며, 별도 표기가 없는 한 연결 기준이다. 원 단위는 절사한다.</w:t>
      </w:r>
    </w:p>
    <w:p>
      <w:pPr>
        <w:spacing w:after="100" w:before="0" w:line="300" w:lineRule="auto"/>
        <w:ind w:left="460" w:hanging="460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02</w:t>
      </w:r>
      <w:r>
        <w:rPr>
          <w:rFonts w:ascii="맑은 고딕" w:eastAsia="맑은 고딕" w:hAnsi="맑은 고딕"/>
          <w:b w:val="false"/>
          <w:bCs w:val="false"/>
          <w:color w:val="32373C"/>
          <w:sz w:val="17"/>
          <w:szCs w:val="17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음수는 △로 표기한다. 괄호·마이너스 부호는 사용하지 않는다. △는 감소를 뜻할 뿐 그 자체로 개선이나 악화를 의미하지 않는다.</w:t>
      </w:r>
    </w:p>
    <w:p>
      <w:pPr>
        <w:spacing w:after="100" w:before="0" w:line="300" w:lineRule="auto"/>
        <w:ind w:left="460" w:hanging="460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03</w:t>
      </w:r>
      <w:r>
        <w:rPr>
          <w:rFonts w:ascii="맑은 고딕" w:eastAsia="맑은 고딕" w:hAnsi="맑은 고딕"/>
          <w:b w:val="false"/>
          <w:bCs w:val="false"/>
          <w:color w:val="32373C"/>
          <w:sz w:val="17"/>
          <w:szCs w:val="17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비율은 소수 첫째 자리까지, 배수는 소수 둘째 자리까지 표기한다. 증감률은 %, 비율의 차이는 %p로 구분한다.</w:t>
      </w:r>
    </w:p>
    <w:p>
      <w:pPr>
        <w:spacing w:after="100" w:before="0" w:line="300" w:lineRule="auto"/>
        <w:ind w:left="460" w:hanging="460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04</w:t>
      </w:r>
      <w:r>
        <w:rPr>
          <w:rFonts w:ascii="맑은 고딕" w:eastAsia="맑은 고딕" w:hAnsi="맑은 고딕"/>
          <w:b w:val="false"/>
          <w:bCs w:val="false"/>
          <w:color w:val="32373C"/>
          <w:sz w:val="17"/>
          <w:szCs w:val="17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단수 조정으로 인해 세부 항목의 합이 합계와 일치하지 않을 수 있다.</w:t>
      </w:r>
    </w:p>
    <w:p>
      <w:pPr>
        <w:spacing w:after="100" w:before="0" w:line="300" w:lineRule="auto"/>
        <w:ind w:left="460" w:hanging="460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05</w:t>
      </w:r>
      <w:r>
        <w:rPr>
          <w:rFonts w:ascii="맑은 고딕" w:eastAsia="맑은 고딕" w:hAnsi="맑은 고딕"/>
          <w:b w:val="false"/>
          <w:bCs w:val="false"/>
          <w:color w:val="32373C"/>
          <w:sz w:val="17"/>
          <w:szCs w:val="17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2025년 수치는 외부감사 전 확정치이며, 감사 결과에 따라 조정될 수 있다.</w:t>
      </w:r>
    </w:p>
    <w:p>
      <w:pPr>
        <w:spacing w:after="560" w:before="0"/>
      </w:pPr>
    </w:p>
    <w:p>
      <w:pPr>
        <w:spacing w:after="100" w:before="0"/>
      </w:pPr>
      <w:r>
        <w:rPr>
          <w:rFonts w:ascii="맑은 고딕" w:eastAsia="맑은 고딕" w:hAnsi="맑은 고딕"/>
          <w:b/>
          <w:bCs/>
          <w:color w:val="6B7278"/>
          <w:spacing w:val="14"/>
          <w:sz w:val="17"/>
          <w:szCs w:val="17"/>
        </w:rPr>
        <w:t xml:space="preserve">편집 기준 (Art Direction)</w:t>
      </w:r>
    </w:p>
    <w:p>
      <w:pPr>
        <w:spacing w:after="60" w:before="0" w:line="280" w:lineRule="auto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컨셉 — 계측기 교정성적서처럼. 수치가 스스로 말하고 문장은 뒤로 물러난다.</w:t>
      </w:r>
    </w:p>
    <w:p>
      <w:pPr>
        <w:spacing w:after="60" w:before="0" w:line="280" w:lineRule="auto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지배 요소 — 데이터(표의 숫자 열). 타이포와 여백은 조연.</w:t>
      </w:r>
    </w:p>
    <w:p>
      <w:pPr>
        <w:spacing w:after="60" w:before="0" w:line="280" w:lineRule="auto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제약 — 지면 전체에 세로 격자선 0개, 셀 음영 0개. 액센트(벽돌색)는 기밀 표기와 목표 미달 판정에만 쓴다.</w:t>
      </w:r>
    </w:p>
    <w:p>
      <w:pPr>
        <w:spacing w:after="60" w:before="0" w:line="280" w:lineRule="auto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참조 장르 — 계측기 교정성적서·산업 검사성적서.</w:t>
      </w:r>
    </w:p>
    <w:p>
      <w:pPr>
        <w:spacing w:after="60" w:before="0" w:line="280" w:lineRule="auto"/>
      </w:pPr>
      <w:r>
        <w:rPr>
          <w:rFonts w:ascii="맑은 고딕" w:eastAsia="맑은 고딕" w:hAnsi="맑은 고딕"/>
          <w:b w:val="false"/>
          <w:bCs w:val="false"/>
          <w:color w:val="9BA1A7"/>
          <w:sz w:val="17"/>
          <w:szCs w:val="17"/>
        </w:rPr>
        <w:t xml:space="preserve">감정 목표 — 신뢰.</w:t>
      </w:r>
    </w:p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요약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Executive Summary</w:t>
      </w:r>
    </w:p>
    <w:p>
      <w:pPr>
        <w:spacing w:after="150" w:before="0" w:line="320" w:lineRule="auto"/>
        <w:ind w:left="520" w:hanging="52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01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연결 매출은 29,140백만원으로 2,260백만원 늘었다. 증가액의 절반 이상인 1,220백만원이 박닌 법인의 PCBA 물량에서 나왔다.</w:t>
      </w:r>
    </w:p>
    <w:p>
      <w:pPr>
        <w:spacing w:after="150" w:before="0" w:line="320" w:lineRule="auto"/>
        <w:ind w:left="520" w:hanging="52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02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영업이익 증가율 26.4%가 매출 증가율 8.4%의 세 배를 넘는다. 원인은 판가 인상이 아니라 매출 대비 재료비율이 59.9%에서 58.4%로 내려간 것이다.</w:t>
      </w:r>
    </w:p>
    <w:p>
      <w:pPr>
        <w:spacing w:after="150" w:before="0" w:line="320" w:lineRule="auto"/>
        <w:ind w:left="520" w:hanging="52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03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거점 단순합 기준으로 안산이 매출의 65.5%를 차지하지만 영업이익은 49.8%에 그친다. 박닌의 영업이익률 9.4%는 안산 4.9%의 두 배다.</w:t>
      </w:r>
    </w:p>
    <w:p>
      <w:pPr>
        <w:spacing w:after="150" w:before="0" w:line="320" w:lineRule="auto"/>
        <w:ind w:left="520" w:hanging="52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04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출하불량 89PPM, 고객 클레임 3건. 클레임 처리비용이 96백만원에서 42백만원으로 줄어 판관비 증가분 270백만원의 20%를 상쇄했다.</w:t>
      </w:r>
    </w:p>
    <w:p>
      <w:pPr>
        <w:spacing w:after="150" w:before="0" w:line="320" w:lineRule="auto"/>
        <w:ind w:left="520" w:hanging="52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05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순차입금/EBITDA는 1.05배로 낮아졌다. 2026년 상반기 만기 도래 차입금 2,300백만원은 기말 현금 2,310백만원으로 상환 가능한 범위 안에 있다.</w:t>
      </w:r>
    </w:p>
    <w:p>
      <w:pPr>
        <w:spacing w:after="150" w:before="0" w:line="320" w:lineRule="auto"/>
        <w:ind w:left="520" w:hanging="520"/>
      </w:pPr>
      <w:r>
        <w:rPr>
          <w:rFonts w:ascii="맑은 고딕" w:eastAsia="맑은 고딕" w:hAnsi="맑은 고딕"/>
          <w:b w:val="false"/>
          <w:bCs w:val="false"/>
          <w:color w:val="9BA1A7"/>
          <w:sz w:val="19"/>
          <w:szCs w:val="19"/>
        </w:rPr>
        <w:t xml:space="preserve">06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</w:t>
      </w: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다만 폐기율 0.62%와 SMT 라인 OEE 78.2%는 사내 목표에 미달했다. 2026년 증설 투자의 회수 속도가 여기에 달려 있다.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핵심 지표 요약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100"/>
        <w:gridCol w:w="1450"/>
        <w:gridCol w:w="1450"/>
        <w:gridCol w:w="1300"/>
        <w:gridCol w:w="2770"/>
      </w:tblGrid>
      <w:tr>
        <w:trPr>
          <w:cantSplit/>
        </w:trPr>
        <w:tc>
          <w:tcPr>
            <w:tcW w:type="dxa" w:w="21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지표</w:t>
            </w:r>
          </w:p>
        </w:tc>
        <w:tc>
          <w:tcPr>
            <w:tcW w:type="dxa" w:w="145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</w:t>
            </w:r>
          </w:p>
        </w:tc>
        <w:tc>
          <w:tcPr>
            <w:tcW w:type="dxa" w:w="145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</w:t>
            </w:r>
          </w:p>
        </w:tc>
        <w:tc>
          <w:tcPr>
            <w:tcW w:type="dxa" w:w="13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</w:t>
            </w:r>
          </w:p>
        </w:tc>
        <w:tc>
          <w:tcPr>
            <w:tcW w:type="dxa" w:w="27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매출액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29,140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26,880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+8.4%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박닌 PCBA 물량 +1,220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영업이익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2,060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1,630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+26.4%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재료비율 1.5%p 개선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영업이익률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7.1%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6.1%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+1.0%p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4개 분기 연속 상승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당기순이익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1,484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1,162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+27.7%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유효세율 21.1%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EBITDA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2,950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2,440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+20.9%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감가상각비 890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순차입금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3,090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3,620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△530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순차입금/EBITDA 1.05배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제어반 출하 (면)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3,410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3,180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+7.2%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설비 가동률 88.8%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출하불량 (PPM)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89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118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△29PPM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고객 클레임 3건 (전년 7건)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납기준수율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96.4%</w:t>
            </w:r>
          </w:p>
        </w:tc>
        <w:tc>
          <w:tcPr>
            <w:tcW w:type="dxa" w:w="145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94.1%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+2.3%p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표준 양산 리드타임 35일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EBITDA = 영업이익 + 감가상각비 및 무형자산상각비. 순차입금 = 총차입금 − 현금및현금성자산.</w:t>
      </w:r>
    </w:p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1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재무 실적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제28기 연결 매출은 29,140백만원, 영업이익은 2,060백만원이다. 매출 증가 2,260백만원 가운데 1,220백만원이 PCBA, 710백만원이 커스텀 자동화 설비에서 발생했다. 반면 보수·부품 매출은 130백만원 줄었는데, 2019년 이전 납품 제어반의 교체 주기가 지나간 결과다.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요약 손익계산서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백만원, %)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400"/>
        <w:gridCol w:w="1400"/>
        <w:gridCol w:w="900"/>
        <w:gridCol w:w="1400"/>
        <w:gridCol w:w="900"/>
        <w:gridCol w:w="1100"/>
        <w:gridCol w:w="970"/>
      </w:tblGrid>
      <w:tr>
        <w:trPr>
          <w:cantSplit/>
        </w:trPr>
        <w:tc>
          <w:tcPr>
            <w:tcW w:type="dxa" w:w="2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</w:t>
            </w:r>
          </w:p>
        </w:tc>
        <w:tc>
          <w:tcPr>
            <w:tcW w:type="dxa" w:w="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구성비</w:t>
            </w:r>
          </w:p>
        </w:tc>
        <w:tc>
          <w:tcPr>
            <w:tcW w:type="dxa" w:w="1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</w:t>
            </w:r>
          </w:p>
        </w:tc>
        <w:tc>
          <w:tcPr>
            <w:tcW w:type="dxa" w:w="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구성비</w:t>
            </w:r>
          </w:p>
        </w:tc>
        <w:tc>
          <w:tcPr>
            <w:tcW w:type="dxa" w:w="11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증감액</w:t>
            </w:r>
          </w:p>
        </w:tc>
        <w:tc>
          <w:tcPr>
            <w:tcW w:type="dxa" w:w="9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매출액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29,140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100.0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26,880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100.0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+2,260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+8.4%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매출원가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23,900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82.0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22,340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83.1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+1,560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+7.0%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매출총이익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5,240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18.0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4,540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16.9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+700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+15.4%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판매비와관리비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3,180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10.9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2,910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10.8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+270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+9.3%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영업이익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2,060</w:t>
            </w:r>
          </w:p>
        </w:tc>
        <w:tc>
          <w:tcPr>
            <w:tcW w:type="dxa" w:w="9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7.1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1,630</w:t>
            </w:r>
          </w:p>
        </w:tc>
        <w:tc>
          <w:tcPr>
            <w:tcW w:type="dxa" w:w="9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6.1</w:t>
            </w:r>
          </w:p>
        </w:tc>
        <w:tc>
          <w:tcPr>
            <w:tcW w:type="dxa" w:w="11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+430</w:t>
            </w:r>
          </w:p>
        </w:tc>
        <w:tc>
          <w:tcPr>
            <w:tcW w:type="dxa" w:w="97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+26.4%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영업외손익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△180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△0.6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△150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△0.6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△30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법인세비용차감전순이익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1,880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6.5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1,480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5.5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+400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+27.0%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법인세비용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396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318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+78</w:t>
            </w:r>
          </w:p>
        </w:tc>
        <w:tc>
          <w:tcPr>
            <w:tcW w:type="dxa" w:w="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+24.5%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당기순이익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1,484</w:t>
            </w:r>
          </w:p>
        </w:tc>
        <w:tc>
          <w:tcPr>
            <w:tcW w:type="dxa" w:w="9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5.1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1,162</w:t>
            </w:r>
          </w:p>
        </w:tc>
        <w:tc>
          <w:tcPr>
            <w:tcW w:type="dxa" w:w="9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4.3</w:t>
            </w:r>
          </w:p>
        </w:tc>
        <w:tc>
          <w:tcPr>
            <w:tcW w:type="dxa" w:w="11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+322</w:t>
            </w:r>
          </w:p>
        </w:tc>
        <w:tc>
          <w:tcPr>
            <w:tcW w:type="dxa" w:w="97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+27.7%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구성비는 매출액 대비 비율이다. 영업외손익에는 이자비용 214백만원(전년 198백만원)과 외환거래손익 +34백만원이 포함된다.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매출원가 구성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백만원, 매출 대비 %)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400"/>
        <w:gridCol w:w="1500"/>
        <w:gridCol w:w="1300"/>
        <w:gridCol w:w="1500"/>
        <w:gridCol w:w="1300"/>
        <w:gridCol w:w="1070"/>
      </w:tblGrid>
      <w:tr>
        <w:trPr>
          <w:cantSplit/>
        </w:trPr>
        <w:tc>
          <w:tcPr>
            <w:tcW w:type="dxa" w:w="2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</w:t>
            </w:r>
          </w:p>
        </w:tc>
        <w:tc>
          <w:tcPr>
            <w:tcW w:type="dxa" w:w="13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매출 대비</w:t>
            </w:r>
          </w:p>
        </w:tc>
        <w:tc>
          <w:tcPr>
            <w:tcW w:type="dxa" w:w="15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</w:t>
            </w:r>
          </w:p>
        </w:tc>
        <w:tc>
          <w:tcPr>
            <w:tcW w:type="dxa" w:w="13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매출 대비</w:t>
            </w:r>
          </w:p>
        </w:tc>
        <w:tc>
          <w:tcPr>
            <w:tcW w:type="dxa" w:w="10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재료비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17,020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58.4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16,090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59.9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△1.5%p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노무비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3,580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12.3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3,340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12.4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△0.1%p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제조경비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3,300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11.3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2,910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10.8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+0.5%p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매출원가 계</w:t>
            </w:r>
          </w:p>
        </w:tc>
        <w:tc>
          <w:tcPr>
            <w:tcW w:type="dxa" w:w="15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23,900</w:t>
            </w:r>
          </w:p>
        </w:tc>
        <w:tc>
          <w:tcPr>
            <w:tcW w:type="dxa" w:w="13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82.0</w:t>
            </w:r>
          </w:p>
        </w:tc>
        <w:tc>
          <w:tcPr>
            <w:tcW w:type="dxa" w:w="15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22,340</w:t>
            </w:r>
          </w:p>
        </w:tc>
        <w:tc>
          <w:tcPr>
            <w:tcW w:type="dxa" w:w="13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83.1</w:t>
            </w:r>
          </w:p>
        </w:tc>
        <w:tc>
          <w:tcPr>
            <w:tcW w:type="dxa" w:w="107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△1.1%p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재료비율 하락은 ① 사급 전환 품목 확대(케이블·단자대 7개 품목), ② MLCC 직구매 전환, ③ 박닌 배선 조립 이관에 따른 사외 외주가공비 감소가 함께 작용한 결과다. 매출원가 항목의 감소는 개선이므로 △ 표기가 곧 악화를 뜻하지 않는다.</w:t>
      </w:r>
    </w:p>
    <w:p>
      <w:r>
        <w:br w:type="page"/>
      </w:r>
    </w:p>
    <w:p>
      <w:pPr>
        <w:keepNext/>
        <w:spacing w:after="120" w:before="30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분기별 추이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4개 분기 모두 전분기보다 매출과 영업이익률이 올랐다. 4분기 영업이익률 7.8%는 제28기 중 가장 높은 수치이며, 12월 출하가 몰린 승강기 제어반 320면이 기여했다.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분기별 실적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백만원, %)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470"/>
        <w:gridCol w:w="1320"/>
        <w:gridCol w:w="1320"/>
        <w:gridCol w:w="1320"/>
        <w:gridCol w:w="1320"/>
        <w:gridCol w:w="1320"/>
      </w:tblGrid>
      <w:tr>
        <w:trPr>
          <w:cantSplit/>
        </w:trPr>
        <w:tc>
          <w:tcPr>
            <w:tcW w:type="dxa" w:w="24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1분기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2분기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3분기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4분기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연간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매출액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6,420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7,180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7,690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7,850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29,140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매출총이익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1,090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1,290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1,390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1,470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5,240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판매비와관리비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710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785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830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855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3,180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영업이익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380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505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560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615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2,060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영업이익률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5.9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7.0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7.3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7.8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7.1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제어반 출하 (면)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760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840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890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920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3,410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1분기 영업이익률이 낮은 것은 계절 요인이 아니라 2024년 4분기 수주분의 구리 단가(톤당 9,850달러)가 그대로 반영된 탓이다. 2분기부터 분기 단가 연동 조항이 적용됐다.</w:t>
      </w:r>
    </w:p>
    <w:p>
      <w:pPr>
        <w:keepNext/>
        <w:spacing w:after="120" w:before="30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수주와 수주잔고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연간 수주액 30,590백만원은 매출의 1.05배다. 기말 수주잔고 6,570백만원은 월 매출 기준 2.7개월치이며, 이 가운데 3,180백만원이 2026년 상반기 납기다. 분기마다 잔고가 늘어난 것은 커스텀 자동화 설비의 수주-납품 간격이 평균 4.6개월로 길기 때문이다.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수주 및 수주잔고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470"/>
        <w:gridCol w:w="1320"/>
        <w:gridCol w:w="1320"/>
        <w:gridCol w:w="1320"/>
        <w:gridCol w:w="1320"/>
        <w:gridCol w:w="1320"/>
      </w:tblGrid>
      <w:tr>
        <w:trPr>
          <w:cantSplit/>
        </w:trPr>
        <w:tc>
          <w:tcPr>
            <w:tcW w:type="dxa" w:w="24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1분기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2분기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3분기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4분기</w:t>
            </w:r>
          </w:p>
        </w:tc>
        <w:tc>
          <w:tcPr>
            <w:tcW w:type="dxa" w:w="132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연간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기초 수주잔고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5,120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5,720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5,990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6,180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5,120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수주액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7,020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7,450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7,880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8,240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30,590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매출액 (차감)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6,420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7,180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7,690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7,850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29,140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기말 수주잔고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5,720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5,990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6,180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6,570</w:t>
            </w:r>
          </w:p>
        </w:tc>
        <w:tc>
          <w:tcPr>
            <w:tcW w:type="dxa" w:w="132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6,570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수주/매출 비율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1.09배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1.04배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1.02배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1.05배</w:t>
            </w:r>
          </w:p>
        </w:tc>
        <w:tc>
          <w:tcPr>
            <w:tcW w:type="dxa" w:w="132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1.05배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수주잔고는 착수금 수령 또는 발주서 접수가 완료된 건만 집계한다. 구두 내정 물량 약 1,900백만원은 제외했다.</w:t>
      </w:r>
    </w:p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2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수익성 분석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영업이익 430백만원 증가를 요인별로 분해하면, 물량 증가 기여는 382백만원에 그치고 나머지 대부분은 원가율 개선에서 나왔다. 매출이 제자리였더라도 재료비율 개선만으로 437백만원의 이익이 늘었을 구조다.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영업이익 증감 요인 분해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800"/>
        <w:gridCol w:w="1400"/>
        <w:gridCol w:w="1400"/>
        <w:gridCol w:w="2470"/>
      </w:tblGrid>
      <w:tr>
        <w:trPr>
          <w:cantSplit/>
        </w:trPr>
        <w:tc>
          <w:tcPr>
            <w:tcW w:type="dxa" w:w="38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요인</w:t>
            </w:r>
          </w:p>
        </w:tc>
        <w:tc>
          <w:tcPr>
            <w:tcW w:type="dxa" w:w="1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금액</w:t>
            </w:r>
          </w:p>
        </w:tc>
        <w:tc>
          <w:tcPr>
            <w:tcW w:type="dxa" w:w="1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누계</w:t>
            </w:r>
          </w:p>
        </w:tc>
        <w:tc>
          <w:tcPr>
            <w:tcW w:type="dxa" w:w="24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산출 근거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2024년 영업이익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1,630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1,630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 증가에 따른 총이익 기여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+382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2,012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매출증가 2,260 × 전기 총이익률 16.9%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재료비율 개선 (1.5%p)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+437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2,449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29,140 × 1.5%p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노무비율 개선 (0.1%p)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2,478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29,140 × 0.1%p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제조경비율 상승 (0.5%p)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△148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2,330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박닌 SMT 2호기 감가상각 개시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판매비와관리비 증가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△270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2,060</w:t>
            </w:r>
          </w:p>
        </w:tc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급여 100, 연구개발 90 등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2025년 영업이익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2,060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2,060</w:t>
            </w:r>
          </w:p>
        </w:tc>
        <w:tc>
          <w:tcPr>
            <w:tcW w:type="dxa" w:w="247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—</w:t>
            </w:r>
          </w:p>
        </w:tc>
      </w:tr>
    </w:tbl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판매비와관리비 구성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백만원, %)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600"/>
        <w:gridCol w:w="1500"/>
        <w:gridCol w:w="1500"/>
        <w:gridCol w:w="1500"/>
        <w:gridCol w:w="1970"/>
      </w:tblGrid>
      <w:tr>
        <w:trPr>
          <w:cantSplit/>
        </w:trPr>
        <w:tc>
          <w:tcPr>
            <w:tcW w:type="dxa" w:w="26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</w:t>
            </w:r>
          </w:p>
        </w:tc>
        <w:tc>
          <w:tcPr>
            <w:tcW w:type="dxa" w:w="15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</w:t>
            </w:r>
          </w:p>
        </w:tc>
        <w:tc>
          <w:tcPr>
            <w:tcW w:type="dxa" w:w="15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</w:t>
            </w:r>
          </w:p>
        </w:tc>
        <w:tc>
          <w:tcPr>
            <w:tcW w:type="dxa" w:w="19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매출 대비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급여 및 상여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1,340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1,240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+100</w:t>
            </w:r>
          </w:p>
        </w:tc>
        <w:tc>
          <w:tcPr>
            <w:tcW w:type="dxa" w:w="1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4.6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경상연구개발비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480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390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+90</w:t>
            </w:r>
          </w:p>
        </w:tc>
        <w:tc>
          <w:tcPr>
            <w:tcW w:type="dxa" w:w="1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지급수수료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+20</w:t>
            </w:r>
          </w:p>
        </w:tc>
        <w:tc>
          <w:tcPr>
            <w:tcW w:type="dxa" w:w="1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운반비 및 보관비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280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+10</w:t>
            </w:r>
          </w:p>
        </w:tc>
        <w:tc>
          <w:tcPr>
            <w:tcW w:type="dxa" w:w="1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감가상각비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190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+20</w:t>
            </w:r>
          </w:p>
        </w:tc>
        <w:tc>
          <w:tcPr>
            <w:tcW w:type="dxa" w:w="1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0.7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판매보증 및 클레임 처리비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△54</w:t>
            </w:r>
          </w:p>
        </w:tc>
        <w:tc>
          <w:tcPr>
            <w:tcW w:type="dxa" w:w="1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0.1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기타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498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414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+84</w:t>
            </w:r>
          </w:p>
        </w:tc>
        <w:tc>
          <w:tcPr>
            <w:tcW w:type="dxa" w:w="19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판관비 계</w:t>
            </w:r>
          </w:p>
        </w:tc>
        <w:tc>
          <w:tcPr>
            <w:tcW w:type="dxa" w:w="15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3,180</w:t>
            </w:r>
          </w:p>
        </w:tc>
        <w:tc>
          <w:tcPr>
            <w:tcW w:type="dxa" w:w="15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2,910</w:t>
            </w:r>
          </w:p>
        </w:tc>
        <w:tc>
          <w:tcPr>
            <w:tcW w:type="dxa" w:w="15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+270</w:t>
            </w:r>
          </w:p>
        </w:tc>
        <w:tc>
          <w:tcPr>
            <w:tcW w:type="dxa" w:w="197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10.9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경상연구개발비 증가분 90백만원은 전량 이차전지 조립설비용 안전 인터록 회로 개발에 투입됐다. 판매보증 및 클레임 처리비 감소는 2024년 발생한 수처리 RTU 절연 불량 건이 종결된 영향이다.</w:t>
      </w:r>
    </w:p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3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생산·품질 지표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제어반 가동률은 88.8%로 사실상 상한에 근접했다. PCBA는 83.0%로 아직 여유가 있으나, 2026년 계획 물량 524만 점을 현재 능력(연 504만 점)으로는 소화할 수 없다. 증설 판단이 필요한 지점이다.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생산 실적 및 능력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(2025년 기준)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200"/>
        <w:gridCol w:w="900"/>
        <w:gridCol w:w="1300"/>
        <w:gridCol w:w="1300"/>
        <w:gridCol w:w="1100"/>
        <w:gridCol w:w="1200"/>
        <w:gridCol w:w="1070"/>
      </w:tblGrid>
      <w:tr>
        <w:trPr>
          <w:cantSplit/>
        </w:trPr>
        <w:tc>
          <w:tcPr>
            <w:tcW w:type="dxa" w:w="22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품목</w:t>
            </w:r>
          </w:p>
        </w:tc>
        <w:tc>
          <w:tcPr>
            <w:tcW w:type="dxa" w:w="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단위</w:t>
            </w:r>
          </w:p>
        </w:tc>
        <w:tc>
          <w:tcPr>
            <w:tcW w:type="dxa" w:w="13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</w:t>
            </w:r>
          </w:p>
        </w:tc>
        <w:tc>
          <w:tcPr>
            <w:tcW w:type="dxa" w:w="13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</w:t>
            </w:r>
          </w:p>
        </w:tc>
        <w:tc>
          <w:tcPr>
            <w:tcW w:type="dxa" w:w="11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증감률</w:t>
            </w:r>
          </w:p>
        </w:tc>
        <w:tc>
          <w:tcPr>
            <w:tcW w:type="dxa" w:w="12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월 능력</w:t>
            </w:r>
          </w:p>
        </w:tc>
        <w:tc>
          <w:tcPr>
            <w:tcW w:type="dxa" w:w="10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가동률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제어반 제작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3,410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3,180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+7.2%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320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88.8%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PCBA 실장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천점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4,182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3,760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+11.2%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420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83.0%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커스텀 자동화 설비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식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52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+23.1%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88.9%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보수·개조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238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261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△8.8%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10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가동률 = 연간 실적 ÷ (월 능력 × 12). 2교대 기준이며 설비 정기보전 시간은 능력에서 차감하지 않았다.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품질 지표 대 사내 목표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(2025년 기준)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600"/>
        <w:gridCol w:w="1300"/>
        <w:gridCol w:w="1300"/>
        <w:gridCol w:w="2000"/>
        <w:gridCol w:w="1870"/>
      </w:tblGrid>
      <w:tr>
        <w:trPr>
          <w:cantSplit/>
        </w:trPr>
        <w:tc>
          <w:tcPr>
            <w:tcW w:type="dxa" w:w="26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지표</w:t>
            </w:r>
          </w:p>
        </w:tc>
        <w:tc>
          <w:tcPr>
            <w:tcW w:type="dxa" w:w="13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</w:t>
            </w:r>
          </w:p>
        </w:tc>
        <w:tc>
          <w:tcPr>
            <w:tcW w:type="dxa" w:w="13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</w:t>
            </w:r>
          </w:p>
        </w:tc>
        <w:tc>
          <w:tcPr>
            <w:tcW w:type="dxa" w:w="20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사내 목표</w:t>
            </w:r>
          </w:p>
        </w:tc>
        <w:tc>
          <w:tcPr>
            <w:tcW w:type="dxa" w:w="18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출하불량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89PPM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118PPM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100PPM 이하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달성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공정불량률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1.24%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1.51%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1.30% 이하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달성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폐기율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0.62%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0.78%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0.60% 이하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9A3324"/>
                <w:sz w:val="19"/>
                <w:szCs w:val="19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납기준수율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96.4%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94.1%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97.0% 이상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9A3324"/>
                <w:sz w:val="19"/>
                <w:szCs w:val="19"/>
              </w:rPr>
              <w:t xml:space="preserve">미달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고객 클레임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7건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5건 이하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달성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8D 리포트 회신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4.2일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6.1일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5영업일 이내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달성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SMT 라인 OEE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78.2%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74.6%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80.0% 이상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9A3324"/>
                <w:sz w:val="19"/>
                <w:szCs w:val="19"/>
              </w:rPr>
              <w:t xml:space="preserve">미달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미달 3개 항목 중 폐기율과 OEE는 동일한 원인을 공유한다. 박닌 SMT 1호기의 피더 교체 대기 시간이 전체 정지시간의 41%를 차지한다. 납기준수율 미달 14건 중 9건은 사외 도장 외주처 1개사에서 발생했다.</w:t>
      </w:r>
    </w:p>
    <w:p>
      <w:pPr>
        <w:keepNext/>
        <w:spacing w:after="120" w:before="30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지표가 손익에 닿는 지점</w:t>
      </w:r>
    </w:p>
    <w:p>
      <w:pPr>
        <w:spacing w:after="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품질 지표는 두 경로로 손익에 들어온다. 하나는 클레임 처리비(2025년 42백만원)이고, 다른 하나는 폐기율을 통한 재료비다. 폐기율 0.62%는 재료비 17,020백만원 기준 106백만원에 해당한다. 목표치 0.60%까지 낮추면 3백만원이 남지만, 0.40%까지 내리면 38백만원이다. 피더 교체 대기 개선이 여기에 직접 연결된다.</w:t>
      </w:r>
    </w:p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4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거점별 손익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두 거점의 손익은 규모가 아니라 성격이 다르다. 안산은 매출의 65.5%를 만들면서 영업이익의 49.8%를 낸다. 인원 1인당 매출은 안산 314백만원, 박닌 53백만원으로 여섯 배 차이가 나지만 영업이익 총액은 박닌이 앞선다.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거점별 손익계산서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백만원, 내부거래 제거 전 단순합 기준)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470"/>
        <w:gridCol w:w="1700"/>
        <w:gridCol w:w="1700"/>
        <w:gridCol w:w="1700"/>
        <w:gridCol w:w="1500"/>
      </w:tblGrid>
      <w:tr>
        <w:trPr>
          <w:cantSplit/>
        </w:trPr>
        <w:tc>
          <w:tcPr>
            <w:tcW w:type="dxa" w:w="24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17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안산 본사</w:t>
            </w:r>
          </w:p>
        </w:tc>
        <w:tc>
          <w:tcPr>
            <w:tcW w:type="dxa" w:w="17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TECH-ON VINA</w:t>
            </w:r>
          </w:p>
        </w:tc>
        <w:tc>
          <w:tcPr>
            <w:tcW w:type="dxa" w:w="17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내부거래 조정</w:t>
            </w:r>
          </w:p>
        </w:tc>
        <w:tc>
          <w:tcPr>
            <w:tcW w:type="dxa" w:w="15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연결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매출액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21,340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11,260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△3,460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29,140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매출원가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17,880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9,410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△3,390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23,900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매출총이익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3,460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1,850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△70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5,240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판매비와관리비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2,410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790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△20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3,180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영업이익</w:t>
            </w:r>
          </w:p>
        </w:tc>
        <w:tc>
          <w:tcPr>
            <w:tcW w:type="dxa" w:w="17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1,050</w:t>
            </w:r>
          </w:p>
        </w:tc>
        <w:tc>
          <w:tcPr>
            <w:tcW w:type="dxa" w:w="17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1,060</w:t>
            </w:r>
          </w:p>
        </w:tc>
        <w:tc>
          <w:tcPr>
            <w:tcW w:type="dxa" w:w="17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△50</w:t>
            </w:r>
          </w:p>
        </w:tc>
        <w:tc>
          <w:tcPr>
            <w:tcW w:type="dxa" w:w="15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2,060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영업이익률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4.9%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9.4%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7.1%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인원 (명)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212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280</w:t>
            </w:r>
          </w:p>
        </w:tc>
      </w:tr>
      <w:tr>
        <w:trPr>
          <w:cantSplit/>
        </w:trPr>
        <w:tc>
          <w:tcPr>
            <w:tcW w:type="dxa" w:w="24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1인당 매출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314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104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내부거래 조정은 안산이 박닌에 공급한 자재 및 박닌이 안산에 납품한 반제품의 상계 금액이다. 미실현손익 70백만원은 기말 재고에 포함된 내부 이익이다.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거점 역할 비교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1700"/>
        <w:gridCol w:w="3685"/>
        <w:gridCol w:w="3685"/>
      </w:tblGrid>
      <w:tr>
        <w:trPr>
          <w:cantSplit/>
        </w:trPr>
        <w:tc>
          <w:tcPr>
            <w:tcW w:type="dxa" w:w="17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항목</w:t>
            </w:r>
          </w:p>
        </w:tc>
        <w:tc>
          <w:tcPr>
            <w:tcW w:type="dxa" w:w="3685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안산 본사</w:t>
            </w:r>
          </w:p>
        </w:tc>
        <w:tc>
          <w:tcPr>
            <w:tcW w:type="dxa" w:w="3685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TECH-ON VINA (박닌)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담당 공정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회로 설계, 도면 검토(DFM), 시제작, 초도양산, 최종 기능검사, 인증 대응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SMT 실장, 배선 조립, 판넬 가공, 양산 검사, 포장·수출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주력 품목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커스텀 자동화 설비, 다품종 소량 제어반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반복 양산 제어반, PCBA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인원 구성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설계 19, 생산 27, 품질 8, 관리·영업 14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생산 168, 품질 21, 자재 12, 관리 11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월 생산능력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제어반 120면, 자동화 설비 6식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제어반 200면, PCBA 420천점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손익 특성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설계 인건비 고정비 비중 높음. 물량 변동에 이익이 민감</w:t>
            </w:r>
          </w:p>
        </w:tc>
        <w:tc>
          <w:tcPr>
            <w:tcW w:type="dxa" w:w="3685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변동비 구조. 인건비 상승과 환율에 이익이 민감</w:t>
            </w:r>
          </w:p>
        </w:tc>
      </w:tr>
    </w:tbl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5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부문·고객 구성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매출총이익률이 가장 높은 부문은 보수·부품(25.8%)이지만 매출은 오히려 줄었다. 반대로 성장률이 가장 높은 커스텀 자동화 설비(+18.2%)는 이익률 19.3%로 뒤를 잇는다. 제어반은 매출의 절반을 차지하면서 이익률은 가장 낮다.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사업부문별 매출 및 매출총이익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백만원, %)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200"/>
        <w:gridCol w:w="1400"/>
        <w:gridCol w:w="900"/>
        <w:gridCol w:w="1400"/>
        <w:gridCol w:w="1100"/>
        <w:gridCol w:w="1300"/>
        <w:gridCol w:w="770"/>
      </w:tblGrid>
      <w:tr>
        <w:trPr>
          <w:cantSplit/>
        </w:trPr>
        <w:tc>
          <w:tcPr>
            <w:tcW w:type="dxa" w:w="22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부문</w:t>
            </w:r>
          </w:p>
        </w:tc>
        <w:tc>
          <w:tcPr>
            <w:tcW w:type="dxa" w:w="1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</w:t>
            </w:r>
          </w:p>
        </w:tc>
        <w:tc>
          <w:tcPr>
            <w:tcW w:type="dxa" w:w="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비중</w:t>
            </w:r>
          </w:p>
        </w:tc>
        <w:tc>
          <w:tcPr>
            <w:tcW w:type="dxa" w:w="1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</w:t>
            </w:r>
          </w:p>
        </w:tc>
        <w:tc>
          <w:tcPr>
            <w:tcW w:type="dxa" w:w="11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증감률</w:t>
            </w:r>
          </w:p>
        </w:tc>
        <w:tc>
          <w:tcPr>
            <w:tcW w:type="dxa" w:w="13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매출총이익</w:t>
            </w:r>
          </w:p>
        </w:tc>
        <w:tc>
          <w:tcPr>
            <w:tcW w:type="dxa" w:w="7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이익률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산업용 제어반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13,980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48.0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13,120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+6.6%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2,290</w:t>
            </w:r>
          </w:p>
        </w:tc>
        <w:tc>
          <w:tcPr>
            <w:tcW w:type="dxa" w:w="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16.4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전자 어셈블리·PCBA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8,760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30.1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7,940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+10.3%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1,630</w:t>
            </w:r>
          </w:p>
        </w:tc>
        <w:tc>
          <w:tcPr>
            <w:tcW w:type="dxa" w:w="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18.6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커스텀 자동화 설비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4,620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15.9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3,910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+18.2%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890</w:t>
            </w:r>
          </w:p>
        </w:tc>
        <w:tc>
          <w:tcPr>
            <w:tcW w:type="dxa" w:w="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19.3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보수·부품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1,780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6.1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1,910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△6.8%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460</w:t>
            </w:r>
          </w:p>
        </w:tc>
        <w:tc>
          <w:tcPr>
            <w:tcW w:type="dxa" w:w="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25.8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공통 제조간접비 배부차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△30</w:t>
            </w:r>
          </w:p>
        </w:tc>
        <w:tc>
          <w:tcPr>
            <w:tcW w:type="dxa" w:w="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합계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29,140</w:t>
            </w:r>
          </w:p>
        </w:tc>
        <w:tc>
          <w:tcPr>
            <w:tcW w:type="dxa" w:w="9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100.0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26,880</w:t>
            </w:r>
          </w:p>
        </w:tc>
        <w:tc>
          <w:tcPr>
            <w:tcW w:type="dxa" w:w="11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+8.4%</w:t>
            </w:r>
          </w:p>
        </w:tc>
        <w:tc>
          <w:tcPr>
            <w:tcW w:type="dxa" w:w="13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5,240</w:t>
            </w:r>
          </w:p>
        </w:tc>
        <w:tc>
          <w:tcPr>
            <w:tcW w:type="dxa" w:w="77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18.0</w:t>
            </w:r>
          </w:p>
        </w:tc>
      </w:tr>
    </w:tbl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상위 고객 구성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백만원, %)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1000"/>
        <w:gridCol w:w="1700"/>
        <w:gridCol w:w="2400"/>
        <w:gridCol w:w="1400"/>
        <w:gridCol w:w="900"/>
        <w:gridCol w:w="1670"/>
      </w:tblGrid>
      <w:tr>
        <w:trPr>
          <w:cantSplit/>
        </w:trPr>
        <w:tc>
          <w:tcPr>
            <w:tcW w:type="dxa" w:w="10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고객</w:t>
            </w:r>
          </w:p>
        </w:tc>
        <w:tc>
          <w:tcPr>
            <w:tcW w:type="dxa" w:w="17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업종</w:t>
            </w:r>
          </w:p>
        </w:tc>
        <w:tc>
          <w:tcPr>
            <w:tcW w:type="dxa" w:w="2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주요 납품 품목</w:t>
            </w:r>
          </w:p>
        </w:tc>
        <w:tc>
          <w:tcPr>
            <w:tcW w:type="dxa" w:w="1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 매출</w:t>
            </w:r>
          </w:p>
        </w:tc>
        <w:tc>
          <w:tcPr>
            <w:tcW w:type="dxa" w:w="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비중</w:t>
            </w:r>
          </w:p>
        </w:tc>
        <w:tc>
          <w:tcPr>
            <w:tcW w:type="dxa" w:w="16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거래 개시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A사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산업용 보일러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연소 제어반, 제어 PCBA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6,350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21.8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2004년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B사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반도체 후공정 장비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커스텀 자동화 설비, 조작반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4,420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15.2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2016년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C사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승강기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승강기 제어반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3,020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10.4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2009년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D사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수처리 설비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원격감시반(RTU)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1,940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6.7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2013년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E사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식품 포장기계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조작반, PCBA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1,610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5.5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2018년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상위 5사 계</w:t>
            </w:r>
          </w:p>
        </w:tc>
        <w:tc>
          <w:tcPr>
            <w:tcW w:type="dxa" w:w="17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17,340</w:t>
            </w:r>
          </w:p>
        </w:tc>
        <w:tc>
          <w:tcPr>
            <w:tcW w:type="dxa" w:w="9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59.5</w:t>
            </w:r>
          </w:p>
        </w:tc>
        <w:tc>
          <w:tcPr>
            <w:tcW w:type="dxa" w:w="167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상위 3사 합계 비중은 47.3%로 전년 51.6%에서 4.3%p 낮아졌다. A사 의존도는 2022년 28.4%에서 3년 연속 하락했으나 여전히 단일 최대 위험 요인이다.</w:t>
      </w:r>
    </w:p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6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재무구조와 운전자본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부채비율은 112.8%로 12.2%p 내려갔다. 차입금 총액은 100백만원 늘었지만 이익 유보로 자본이 1,150백만원 증가한 결과다. 현금전환주기는 66일에서 62일로 짧아졌고, 이 4일이 약 320백만원의 운전자본을 풀어 줬다.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요약 재무상태표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400"/>
        <w:gridCol w:w="1900"/>
        <w:gridCol w:w="1900"/>
        <w:gridCol w:w="1870"/>
      </w:tblGrid>
      <w:tr>
        <w:trPr>
          <w:cantSplit/>
        </w:trPr>
        <w:tc>
          <w:tcPr>
            <w:tcW w:type="dxa" w:w="3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1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 말</w:t>
            </w:r>
          </w:p>
        </w:tc>
        <w:tc>
          <w:tcPr>
            <w:tcW w:type="dxa" w:w="1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 말</w:t>
            </w:r>
          </w:p>
        </w:tc>
        <w:tc>
          <w:tcPr>
            <w:tcW w:type="dxa" w:w="18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현금및현금성자산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2,310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1,680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+630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매출채권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4,180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3,940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+240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재고자산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3,620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3,480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+140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유형자산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7,240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6,860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+380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기타자산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1,290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1,160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+130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자산총계</w:t>
            </w:r>
          </w:p>
        </w:tc>
        <w:tc>
          <w:tcPr>
            <w:tcW w:type="dxa" w:w="19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18,640</w:t>
            </w:r>
          </w:p>
        </w:tc>
        <w:tc>
          <w:tcPr>
            <w:tcW w:type="dxa" w:w="19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17,120</w:t>
            </w:r>
          </w:p>
        </w:tc>
        <w:tc>
          <w:tcPr>
            <w:tcW w:type="dxa" w:w="187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+1,520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매입채무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2,940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2,760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+180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차입금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5,400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5,300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기타부채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1,540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1,450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+90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부채총계</w:t>
            </w:r>
          </w:p>
        </w:tc>
        <w:tc>
          <w:tcPr>
            <w:tcW w:type="dxa" w:w="19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9,880</w:t>
            </w:r>
          </w:p>
        </w:tc>
        <w:tc>
          <w:tcPr>
            <w:tcW w:type="dxa" w:w="190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9,510</w:t>
            </w:r>
          </w:p>
        </w:tc>
        <w:tc>
          <w:tcPr>
            <w:tcW w:type="dxa" w:w="1870"/>
            <w:tcBorders>
              <w:top w:val="single" w:color="15181C" w:sz="6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+370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자본총계</w:t>
            </w:r>
          </w:p>
        </w:tc>
        <w:tc>
          <w:tcPr>
            <w:tcW w:type="dxa" w:w="19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8,760</w:t>
            </w:r>
          </w:p>
        </w:tc>
        <w:tc>
          <w:tcPr>
            <w:tcW w:type="dxa" w:w="19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7,610</w:t>
            </w:r>
          </w:p>
        </w:tc>
        <w:tc>
          <w:tcPr>
            <w:tcW w:type="dxa" w:w="187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+1,150</w:t>
            </w:r>
          </w:p>
        </w:tc>
      </w:tr>
    </w:tbl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주요 재무비율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2400"/>
        <w:gridCol w:w="1200"/>
        <w:gridCol w:w="1200"/>
        <w:gridCol w:w="1200"/>
        <w:gridCol w:w="3070"/>
      </w:tblGrid>
      <w:tr>
        <w:trPr>
          <w:cantSplit/>
        </w:trPr>
        <w:tc>
          <w:tcPr>
            <w:tcW w:type="dxa" w:w="2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비율</w:t>
            </w:r>
          </w:p>
        </w:tc>
        <w:tc>
          <w:tcPr>
            <w:tcW w:type="dxa" w:w="12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</w:t>
            </w:r>
          </w:p>
        </w:tc>
        <w:tc>
          <w:tcPr>
            <w:tcW w:type="dxa" w:w="12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2024년</w:t>
            </w:r>
          </w:p>
        </w:tc>
        <w:tc>
          <w:tcPr>
            <w:tcW w:type="dxa" w:w="12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</w:t>
            </w:r>
          </w:p>
        </w:tc>
        <w:tc>
          <w:tcPr>
            <w:tcW w:type="dxa" w:w="30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산식 및 판단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부채비율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112.8%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125.0%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△12.2%p</w:t>
            </w:r>
          </w:p>
        </w:tc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부채총계 ÷ 자본총계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차입금의존도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29.0%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31.0%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△2.0%p</w:t>
            </w:r>
          </w:p>
        </w:tc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차입금 ÷ 자산총계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순차입금/EBITDA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1.05배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1.48배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△0.43배</w:t>
            </w:r>
          </w:p>
        </w:tc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주거래은행 약정 기준 3.0배 이내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이자보상배율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9.63배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8.23배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+1.40배</w:t>
            </w:r>
          </w:p>
        </w:tc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영업이익 ÷ 이자비용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유동비율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140.0%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132.4%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+7.6%p</w:t>
            </w:r>
          </w:p>
        </w:tc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유동자산 10,750 ÷ 유동부채 7,680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자기자본이익률(ROE)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18.1%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16.4%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+1.7%p</w:t>
            </w:r>
          </w:p>
        </w:tc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당기순이익 ÷ 평균 자본총계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매출채권회전일수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52일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54일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△2일</w:t>
            </w:r>
          </w:p>
        </w:tc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평균 회수 조건 45일 대비 7일 초과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재고자산회전일수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55일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57일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△2일</w:t>
            </w:r>
          </w:p>
        </w:tc>
        <w:tc>
          <w:tcPr>
            <w:tcW w:type="dxa" w:w="30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자재 3,610 중 장기재고 240 포함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현금전환주기(CCC)</w:t>
            </w:r>
          </w:p>
        </w:tc>
        <w:tc>
          <w:tcPr>
            <w:tcW w:type="dxa" w:w="12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62일</w:t>
            </w:r>
          </w:p>
        </w:tc>
        <w:tc>
          <w:tcPr>
            <w:tcW w:type="dxa" w:w="12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66일</w:t>
            </w:r>
          </w:p>
        </w:tc>
        <w:tc>
          <w:tcPr>
            <w:tcW w:type="dxa" w:w="120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△4일</w:t>
            </w:r>
          </w:p>
        </w:tc>
        <w:tc>
          <w:tcPr>
            <w:tcW w:type="dxa" w:w="3070"/>
            <w:tcBorders>
              <w:top w:val="single" w:color="15181C" w:sz="6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7"/>
                <w:szCs w:val="17"/>
              </w:rPr>
              <w:t xml:space="preserve">52 + 55 − 45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매출채권회전일수 52일은 계약 조건(45일)보다 7일 길다. 초과분의 62%가 D사와 E사 두 곳에서 발생한다.</w:t>
      </w:r>
    </w:p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7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리스크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아래 여섯 건은 발생 가능성이 아니라 영업이익에 미치는 계량 영향의 크기 순으로 배열했다. 1번과 2번은 이미 2026년 1분기에 조건이 확정된 사안이다.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리스크 및 계량 영향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(영업이익 기준, 연간)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1400"/>
        <w:gridCol w:w="2700"/>
        <w:gridCol w:w="2200"/>
        <w:gridCol w:w="2770"/>
      </w:tblGrid>
      <w:tr>
        <w:trPr>
          <w:cantSplit/>
        </w:trPr>
        <w:tc>
          <w:tcPr>
            <w:tcW w:type="dxa" w:w="1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계량 영향</w:t>
            </w:r>
          </w:p>
        </w:tc>
        <w:tc>
          <w:tcPr>
            <w:tcW w:type="dxa" w:w="27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고객 편중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A사 단일 비중 21.8%. 2026년 연간 단가 협상에서 3% 인하 요구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9A3324"/>
                <w:sz w:val="17"/>
                <w:szCs w:val="17"/>
              </w:rPr>
              <w:t xml:space="preserve">△191백만원 (영업이익의 9.3%)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자동화 설비 물량과 묶어 단가 협상 진행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원자재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전기동 가격. 2025년 평균 톤당 9,120달러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9A3324"/>
                <w:sz w:val="17"/>
                <w:szCs w:val="17"/>
              </w:rPr>
              <w:t xml:space="preserve">12% 상승 시 재료비율 +1.4%p, △408백만원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분기 단가 연동 조항 적용 고객 비중 58% → 75% 목표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환율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USD 결제 매출 비중 38.6%, VND 인건비 지급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원/달러 10원 변동 시 ±34백만원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선물환 30% 헤지 유지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인건비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베트남 최저임금 2026년 6.0% 인상 확정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9A3324"/>
                <w:sz w:val="17"/>
                <w:szCs w:val="17"/>
              </w:rPr>
              <w:t xml:space="preserve">△67백만원 (박닌 인건비 1,120 기준)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SMT 3호기 자동화로 실장 인원 14명 재배치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외주 집중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도장 공정을 안산 소재 1개사에 전량 위탁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납기 지연 14건 중 9건 발생. 지체상금 22백만원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2026년 상반기 내 제2 외주처 승인 완료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32373C"/>
                <w:sz w:val="19"/>
                <w:szCs w:val="19"/>
              </w:rPr>
              <w:t xml:space="preserve">금리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2026년 상반기 만기 2,300백만원, 현행 고정 4.1%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0.8%p 상승 재조달 시 △18백만원</w:t>
            </w:r>
          </w:p>
        </w:tc>
        <w:tc>
          <w:tcPr>
            <w:tcW w:type="dxa" w:w="27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현금 상환 1,000 + 재약정 1,300으로 분할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계량 영향은 2025년 실적을 기준으로 단일 변수만 변동시킨 값이다. 변수 간 상호작용은 반영하지 않았다.</w:t>
      </w:r>
    </w:p>
    <w:p>
      <w:pPr>
        <w:keepNext/>
        <w:spacing w:after="120" w:before="30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합산 영향과 관리 방식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여섯 건이 동시에 현실화되면 영업이익 감소폭은 740백만원, 2025년 영업이익의 35.9%다. 이 가운데 고객 편중과 원자재 두 건이 599백만원으로 81.0%를 차지한다. 나머지 네 건은 개별 대응으로 흡수 가능한 규모다.</w:t>
      </w:r>
    </w:p>
    <w:p>
      <w:pPr>
        <w:spacing w:after="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원자재와 환율은 월간 지표로, 고객 편중과 외주 집중은 분기 단위로 경영회의에 보고한다. 계량 영향이 영업이익의 5%를 넘는 항목이 새로 생기면 그 시점에 별도 안건으로 올린다.</w:t>
      </w:r>
    </w:p>
    <w:p>
      <w:r>
        <w:br w:type="page"/>
      </w:r>
    </w:p>
    <w:p>
      <w:pPr>
        <w:keepNext/>
        <w:spacing w:after="200" w:before="560"/>
      </w:pPr>
      <w:r>
        <w:rPr>
          <w:rFonts w:ascii="맑은 고딕" w:eastAsia="맑은 고딕" w:hAnsi="맑은 고딕"/>
          <w:b w:val="false"/>
          <w:bCs w:val="false"/>
          <w:color w:val="9BA1A7"/>
          <w:spacing w:val="20"/>
          <w:sz w:val="19"/>
          <w:szCs w:val="19"/>
        </w:rPr>
        <w:t xml:space="preserve">8</w:t>
      </w:r>
      <w:r>
        <w:rPr>
          <w:rFonts w:ascii="맑은 고딕" w:eastAsia="맑은 고딕" w:hAnsi="맑은 고딕"/>
          <w:b w:val="false"/>
          <w:bCs w:val="false"/>
          <w:color w:val="32373C"/>
          <w:sz w:val="19"/>
          <w:szCs w:val="19"/>
        </w:rPr>
        <w:t xml:space="preserve">    </w:t>
      </w:r>
      <w:r>
        <w:rPr>
          <w:rFonts w:ascii="맑은 고딕" w:eastAsia="맑은 고딕" w:hAnsi="맑은 고딕"/>
          <w:b/>
          <w:bCs/>
          <w:color w:val="15181C"/>
          <w:sz w:val="26"/>
          <w:szCs w:val="26"/>
        </w:rPr>
        <w:t xml:space="preserve">결론 및 건의</w:t>
      </w:r>
    </w:p>
    <w:p>
      <w:pPr>
        <w:spacing w:after="160" w:before="0" w:line="320" w:lineRule="auto"/>
      </w:pPr>
      <w:r>
        <w:rPr>
          <w:rFonts w:ascii="맑은 고딕" w:eastAsia="맑은 고딕" w:hAnsi="맑은 고딕"/>
          <w:b w:val="false"/>
          <w:bCs w:val="false"/>
          <w:color w:val="32373C"/>
          <w:sz w:val="20"/>
          <w:szCs w:val="20"/>
        </w:rPr>
        <w:t xml:space="preserve">제28기의 이익 개선은 원가율에서 나왔고, 그 원가율 개선은 대부분 박닌 이관이라는 일회성 구조 변화의 결과다. 같은 방식으로 2026년에 다시 1.5%p를 줄일 여지는 없다. 다음 단계의 이익은 능력 증설과 고객 구성 변경에서 나와야 한다.</w:t>
      </w:r>
    </w:p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건의 사항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600"/>
        <w:gridCol w:w="2600"/>
        <w:gridCol w:w="2400"/>
        <w:gridCol w:w="1200"/>
        <w:gridCol w:w="2270"/>
      </w:tblGrid>
      <w:tr>
        <w:trPr>
          <w:cantSplit/>
        </w:trPr>
        <w:tc>
          <w:tcPr>
            <w:tcW w:type="dxa" w:w="6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No</w:t>
            </w:r>
          </w:p>
        </w:tc>
        <w:tc>
          <w:tcPr>
            <w:tcW w:type="dxa" w:w="26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건의</w:t>
            </w:r>
          </w:p>
        </w:tc>
        <w:tc>
          <w:tcPr>
            <w:tcW w:type="dxa" w:w="2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투자 및 효과</w:t>
            </w:r>
          </w:p>
        </w:tc>
        <w:tc>
          <w:tcPr>
            <w:tcW w:type="dxa" w:w="12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목표 시점</w:t>
            </w:r>
          </w:p>
        </w:tc>
        <w:tc>
          <w:tcPr>
            <w:tcW w:type="dxa" w:w="22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필요 의사결정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박닌 SMT 3호기 증설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투자 1,450백만원. PCBA 능력 월 420 → 580천점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2026.3Q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이사회 승인 (2026.3월)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신규 2개 산업 진입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반도체 장비·이차전지 조립설비. 목표 매출 2,800백만원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2026.4Q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영업 인력 2명 증원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매출채권 회수 조건 재협상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52일 → 47일. 운전자본 400백만원 회수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2026.2Q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D사·E사 계약 변경 승인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안산 거점 역할 재정의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시제작·초도양산·인증 대응 중심으로 전환. 반복 양산 물량 박닌 이관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2026.4Q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인력 재배치 계획 승인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도장 제2 외주처 승인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납기 지연 14건 → 6건 이하, 지체상금 22 → 8백만원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2026.2Q</w:t>
            </w:r>
          </w:p>
        </w:tc>
        <w:tc>
          <w:tcPr>
            <w:tcW w:type="dxa" w:w="22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7"/>
                <w:szCs w:val="17"/>
              </w:rPr>
              <w:t xml:space="preserve">품질 승인 절차 착수</w:t>
            </w:r>
          </w:p>
        </w:tc>
      </w:tr>
    </w:tbl>
    <w:p>
      <w:pPr>
        <w:keepNext/>
        <w:tabs>
          <w:tab w:val="right" w:pos="9070"/>
        </w:tabs>
        <w:spacing w:after="100" w:before="260"/>
      </w:pPr>
      <w:r>
        <w:rPr>
          <w:rFonts w:ascii="맑은 고딕" w:eastAsia="맑은 고딕" w:hAnsi="맑은 고딕"/>
          <w:b/>
          <w:bCs/>
          <w:color w:val="15181C"/>
          <w:sz w:val="20"/>
          <w:szCs w:val="20"/>
        </w:rPr>
        <w:t xml:space="preserve">2026년 계획 대비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(단위: 백만원)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70"/>
          <w:left w:type="dxa" w:w="90"/>
          <w:bottom w:type="dxa" w:w="70"/>
          <w:right w:type="dxa" w:w="90"/>
        </w:tblCellMar>
      </w:tblPr>
      <w:tblGrid>
        <w:gridCol w:w="3400"/>
        <w:gridCol w:w="1900"/>
        <w:gridCol w:w="1900"/>
        <w:gridCol w:w="1870"/>
      </w:tblGrid>
      <w:tr>
        <w:trPr>
          <w:cantSplit/>
        </w:trPr>
        <w:tc>
          <w:tcPr>
            <w:tcW w:type="dxa" w:w="34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구분</w:t>
            </w:r>
          </w:p>
        </w:tc>
        <w:tc>
          <w:tcPr>
            <w:tcW w:type="dxa" w:w="1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2025년 실적</w:t>
            </w:r>
          </w:p>
        </w:tc>
        <w:tc>
          <w:tcPr>
            <w:tcW w:type="dxa" w:w="190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2026년 계획</w:t>
            </w:r>
          </w:p>
        </w:tc>
        <w:tc>
          <w:tcPr>
            <w:tcW w:type="dxa" w:w="1870"/>
            <w:tcBorders>
              <w:top w:val="single" w:color="15181C" w:sz="12"/>
              <w:left w:val="none" w:color="FFFFFF" w:sz="0"/>
              <w:bottom w:val="single" w:color="15181C" w:sz="6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6B7278"/>
                <w:sz w:val="19"/>
                <w:szCs w:val="19"/>
              </w:rPr>
              <w:t xml:space="preserve">증감률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매출액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29,140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32,500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+11.5%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영업이익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2,060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2,480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+20.4%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영업이익률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7.1%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7.6%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+0.5%p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제어반 출하 (면)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3,410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3,780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+10.9%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PCBA 출하 (천점)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4,182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5,240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+25.3%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출하불량 (PPM)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89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75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E2E5E8" w:sz="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△14PPM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순차입금/EBITDA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1.05배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0.72배</w:t>
            </w:r>
          </w:p>
        </w:tc>
        <w:tc>
          <w:tcPr>
            <w:tcW w:type="dxa" w:w="1870"/>
            <w:tcBorders>
              <w:top w:val="none" w:color="FFFFFF" w:sz="0"/>
              <w:left w:val="none" w:color="FFFFFF" w:sz="0"/>
              <w:bottom w:val="single" w:color="15181C" w:sz="12"/>
              <w:right w:val="none" w:color="FFFFFF" w:sz="0"/>
            </w:tcBorders>
            <w:vAlign w:val="center"/>
          </w:tcPr>
          <w:p>
            <w:pPr>
              <w:spacing w:after="0" w:before="0" w:line="260" w:lineRule="auto"/>
              <w:jc w:val="right"/>
            </w:pPr>
            <w:r>
              <w:rPr>
                <w:rFonts w:ascii="맑은 고딕" w:eastAsia="맑은 고딕" w:hAnsi="맑은 고딕"/>
                <w:b w:val="false"/>
                <w:bCs w:val="false"/>
                <w:color w:val="32373C"/>
                <w:sz w:val="19"/>
                <w:szCs w:val="19"/>
              </w:rPr>
              <w:t xml:space="preserve">△0.33배</w:t>
            </w:r>
          </w:p>
        </w:tc>
      </w:tr>
    </w:tbl>
    <w:p>
      <w:pPr>
        <w:spacing w:after="0" w:before="100" w:line="280" w:lineRule="auto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2026년 계획은 SMT 3호기가 3분기에 가동된다는 전제 위에 서 있다. 승인이 1분기 늦어지면 PCBA 계획 물량의 약 380천점, 매출 기준 620백만원이 이연된다.</w:t>
      </w:r>
    </w:p>
    <w:p>
      <w:pPr>
        <w:spacing w:after="420" w:before="0"/>
      </w:pPr>
    </w:p>
    <w:p>
      <w:pPr>
        <w:tabs>
          <w:tab w:val="right" w:pos="9070"/>
        </w:tabs>
        <w:spacing w:after="0" w:before="0"/>
      </w:pPr>
      <w:r>
        <w:rPr>
          <w:rFonts w:ascii="맑은 고딕" w:eastAsia="맑은 고딕" w:hAnsi="맑은 고딕"/>
          <w:b w:val="false"/>
          <w:bCs w:val="false"/>
          <w:color w:val="6B7278"/>
          <w:sz w:val="17"/>
          <w:szCs w:val="17"/>
        </w:rPr>
        <w:t xml:space="preserve">경영관리본부 재경팀</w:t>
      </w:r>
      <w:r>
        <w:rPr>
          <w:rFonts w:ascii="맑은 고딕" w:eastAsia="맑은 고딕" w:hAnsi="맑은 고딕"/>
          <w:color w:val="6B7278"/>
          <w:sz w:val="17"/>
          <w:szCs w:val="17"/>
        </w:rPr>
        <w:tab/>
        <w:t xml:space="preserve">문의  031-499-####  ·  finance@tech-on.co.kr</w:t>
      </w:r>
    </w:p>
    <w:sectPr>
      <w:footerReference w:type="default" r:id="rId7"/>
      <w:type w:val="nextPage"/>
      <w:pgSz w:w="11906" w:h="16838" w:orient="portrait"/>
      <w:pgMar w:top="1420" w:right="1418" w:bottom="1300" w:left="1418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5E8" w:sz="2" w:space="8"/>
      </w:pBdr>
      <w:tabs>
        <w:tab w:val="right" w:pos="9070"/>
      </w:tabs>
      <w:spacing w:after="0" w:before="0"/>
    </w:pPr>
    <w:r>
      <w:rPr>
        <w:rFonts w:ascii="맑은 고딕" w:eastAsia="맑은 고딕" w:hAnsi="맑은 고딕"/>
        <w:b w:val="false"/>
        <w:bCs w:val="false"/>
        <w:color w:val="9BA1A7"/>
        <w:sz w:val="17"/>
        <w:szCs w:val="17"/>
      </w:rPr>
      <w:t xml:space="preserve">TO-FIN-2026-003   (주)테크온 2025 경영실적 분석</w:t>
    </w:r>
    <w:r>
      <w:rPr>
        <w:rFonts w:ascii="맑은 고딕" w:eastAsia="맑은 고딕" w:hAnsi="맑은 고딕"/>
        <w:color w:val="6B7278"/>
        <w:sz w:val="17"/>
        <w:szCs w:val="17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color w:val="32373C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경영실적 분석 — (주)테크온</dc:title>
  <dc:subject>제28기 연결 경영실적 분석 보고서</dc:subject>
  <dc:creator>(주)테크온 경영관리본부 재경팀</dc:creator>
  <dc:description>ART DIRECTION | 컨셉: 계측기 교정성적서처럼 — 수치가 스스로 말하고 문장은 뒤로 물러난다 | 지배 요소: 데이터(표의 숫자 열) | 제약: 지면 전체 세로 격자선 0개, 셀 음영 0개, 액센트는 악화된 수치에만 | 참조 장르: 계측기 교정성적서·산업 검사성적서 | 감정 목표: 신뢰</dc:description>
  <cp:lastModifiedBy>Un-named</cp:lastModifiedBy>
  <cp:revision>1</cp:revision>
  <dcterms:created xsi:type="dcterms:W3CDTF">2026-08-12T01:26:41.710Z</dcterms:created>
  <dcterms:modified xsi:type="dcterms:W3CDTF">2026-08-12T01:26:41.710Z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