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rPr>
          <w:rFonts w:ascii="Calibri" w:hAnsi="Calibri" w:eastAsia="Noto Sans CJK KR"/>
        </w:rPr>
        <w:t>작성·검토용 표지 — 웹사이트 게시 시 제거</w:t>
      </w:r>
    </w:p>
    <w:p>
      <w:pPr>
        <w:pStyle w:val="Title"/>
      </w:pPr>
      <w:r>
        <w:rPr>
          <w:rFonts w:ascii="Calibri" w:hAnsi="Calibri" w:eastAsia="Noto Sans CJK KR"/>
        </w:rPr>
        <w:t>Privacy Policy</w:t>
      </w:r>
    </w:p>
    <w:p>
      <w:pPr>
        <w:pStyle w:val="Subtitle"/>
      </w:pPr>
      <w:r>
        <w:rPr>
          <w:rFonts w:ascii="Calibri" w:hAnsi="Calibri" w:eastAsia="Noto Sans CJK KR"/>
        </w:rPr>
        <w:t>SoulTrace &amp; Eternal Beam | tva ltd</w:t>
      </w:r>
    </w:p>
    <w:p>
      <w:r>
        <w:rPr>
          <w:rFonts w:ascii="Calibri" w:hAnsi="Calibri" w:eastAsia="Noto Sans CJK KR"/>
        </w:rPr>
        <w:t>회사정보 반영 및 로컬 저장 운영안</w:t>
      </w:r>
    </w:p>
    <w:p>
      <w:r>
        <w:rPr>
          <w:rFonts w:ascii="Calibri" w:hAnsi="Calibri" w:eastAsia="Noto Sans CJK KR"/>
        </w:rPr>
        <w:t>원문 적용 범위 유지: 사전 출시 알림 · 무료 AI 편지/스탬프 · 계정 보관</w:t>
      </w:r>
    </w:p>
    <w:p>
      <w:r>
        <w:rPr>
          <w:rFonts w:ascii="Calibri" w:hAnsi="Calibri" w:eastAsia="Noto Sans CJK KR"/>
        </w:rPr>
        <w:t>작성일 2026년 9월 21일 | CAMPAIGN-1.1-LOCAL-DRAFT</w:t>
      </w:r>
    </w:p>
    <w:p>
      <w:pPr>
        <w:pStyle w:val="Note"/>
        <w:shd w:fill="EAF2F4"/>
      </w:pPr>
      <w:r>
        <w:rPr>
          <w:rFonts w:ascii="Calibri" w:hAnsi="Calibri" w:eastAsia="Noto Sans CJK KR"/>
        </w:rPr>
        <w:t>상태: 게시 전 검토본. 회사정보는 사용자 제공값을 반영했습니다. 로컬 저장은 사용자 계획이며, 보관기간·보안·수집 최소화는 이번 작성 제안입니다. 법률 검토나 실제 배포 검증 완료를 의미하지 않습니다.</w:t>
      </w:r>
    </w:p>
    <w:p>
      <w:pPr>
        <w:pStyle w:val="Heading2"/>
      </w:pPr>
      <w:r>
        <w:rPr>
          <w:rFonts w:ascii="Calibri" w:hAnsi="Calibri" w:eastAsia="Noto Sans CJK KR"/>
        </w:rPr>
        <w:t>반영한 회사정보</w:t>
      </w:r>
    </w:p>
    <w:p>
      <w:r>
        <w:rPr>
          <w:rFonts w:ascii="Calibri" w:hAnsi="Calibri" w:eastAsia="Noto Sans CJK KR"/>
        </w:rPr>
        <w:t>주식회사 토일렛 아카이브 / tva ltd · 대한민국 회사</w:t>
        <w:br/>
        <w:t>대표 강효찬 · 개인정보 문의 담당자 최정선</w:t>
        <w:br/>
        <w:t>영등포로 3길 3 씨타워 804~806호 · 010-6418-8905 · 이메일 추후 입력</w:t>
      </w:r>
    </w:p>
    <w:p>
      <w:r>
        <w:rPr>
          <w:rFonts w:ascii="Calibri" w:hAnsi="Calibri" w:eastAsia="Noto Sans CJK KR"/>
        </w:rPr>
        <w:t>회사 직접 운영 로컬 서버를 주 저장소로 반영했습니다. 대한민국 내 서버·백업을 작성 기준으로 제안하되, 실제 소재국과 기존 클라우드 사본의 이전·삭제는 미확인입니다. 로컬 저장을 외부 전송 없음으로 해석하지 않았습니다.</w:t>
      </w:r>
    </w:p>
    <w:p>
      <w:pPr>
        <w:pStyle w:val="Heading2"/>
      </w:pPr>
      <w:r>
        <w:rPr>
          <w:rFonts w:ascii="Calibri" w:hAnsi="Calibri" w:eastAsia="Noto Sans CJK KR"/>
        </w:rPr>
        <w:t>주요 운영 기준 — 제안안, 승인·구현 필요</w:t>
      </w:r>
    </w:p>
    <w:tbl>
      <w:tblPr>
        <w:tblW w:type="auto" w:w="0"/>
        <w:jc w:val="center"/>
        <w:tblLayout w:type="fixed"/>
        <w:tblLook w:firstColumn="1" w:firstRow="1" w:lastColumn="0" w:lastRow="0" w:noHBand="0" w:noVBand="1" w:val="04A0"/>
      </w:tblPr>
      <w:tblGrid>
        <w:gridCol w:w="2324"/>
        <w:gridCol w:w="7427"/>
      </w:tblGrid>
      <w:tr>
        <w:trPr>
          <w:tblHeader/>
          <w:cantSplit/>
        </w:trPr>
        <w:tc>
          <w:tcPr>
            <w:tcW w:type="dxa" w:w="2324"/>
            <w:shd w:fill="153B4A"/>
            <w:vAlign w:val="top"/>
            <w:tcMar>
              <w:top w:w="80" w:type="dxa"/>
              <w:left w:w="95" w:type="dxa"/>
              <w:bottom w:w="80" w:type="dxa"/>
              <w:right w:w="95" w:type="dxa"/>
            </w:tcMar>
          </w:tcPr>
          <w:p>
            <w:pPr>
              <w:keepNext w:val="0"/>
              <w:spacing w:after="60" w:before="0" w:line="257" w:lineRule="auto"/>
            </w:pPr>
            <w:r>
              <w:rPr>
                <w:rFonts w:ascii="Calibri" w:hAnsi="Calibri" w:eastAsia="Noto Sans CJK KR"/>
                <w:b/>
                <w:color w:val="FFFFFF"/>
                <w:sz w:val="18"/>
              </w:rPr>
              <w:t>구분</w:t>
            </w:r>
          </w:p>
        </w:tc>
        <w:tc>
          <w:tcPr>
            <w:tcW w:type="dxa" w:w="7427"/>
            <w:shd w:fill="153B4A"/>
            <w:vAlign w:val="top"/>
            <w:tcMar>
              <w:top w:w="80" w:type="dxa"/>
              <w:left w:w="95" w:type="dxa"/>
              <w:bottom w:w="80" w:type="dxa"/>
              <w:right w:w="95" w:type="dxa"/>
            </w:tcMar>
          </w:tcPr>
          <w:p>
            <w:pPr>
              <w:keepNext w:val="0"/>
              <w:spacing w:after="60" w:before="0" w:line="257" w:lineRule="auto"/>
            </w:pPr>
            <w:r>
              <w:rPr>
                <w:rFonts w:ascii="Calibri" w:hAnsi="Calibri" w:eastAsia="Noto Sans CJK KR"/>
                <w:b/>
                <w:color w:val="FFFFFF"/>
                <w:sz w:val="18"/>
              </w:rPr>
              <w:t>이번 작성 기준</w:t>
            </w:r>
          </w:p>
        </w:tc>
      </w:tr>
      <w:tr>
        <w:trPr>
          <w:cantSplit/>
        </w:trPr>
        <w:tc>
          <w:tcPr>
            <w:tcW w:type="dxa" w:w="232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보관기간</w:t>
            </w:r>
          </w:p>
        </w:tc>
        <w:tc>
          <w:tcPr>
            <w:tcW w:type="dxa" w:w="7427"/>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설문 입력 30일 · 임시파일 7일 · 일반 운영 로그 90일 · 회사 백업 최대 30일. 완성 콘텐츠는 이용자 삭제·계정 종료까지.</w:t>
            </w:r>
          </w:p>
        </w:tc>
      </w:tr>
      <w:tr>
        <w:trPr>
          <w:cantSplit/>
        </w:trPr>
        <w:tc>
          <w:tcPr>
            <w:tcW w:type="dxa" w:w="2324"/>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마케팅</w:t>
            </w:r>
          </w:p>
        </w:tc>
        <w:tc>
          <w:tcPr>
            <w:tcW w:type="dxa" w:w="742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무료 편지와 별도 선택 동의. 철회·캠페인 종료·명시적 재동의 없는 12개월 중 먼저 도래하는 때까지.</w:t>
            </w:r>
          </w:p>
        </w:tc>
      </w:tr>
      <w:tr>
        <w:trPr>
          <w:cantSplit/>
        </w:trPr>
        <w:tc>
          <w:tcPr>
            <w:tcW w:type="dxa" w:w="232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학습·추적·공개</w:t>
            </w:r>
          </w:p>
        </w:tc>
        <w:tc>
          <w:tcPr>
            <w:tcW w:type="dxa" w:w="7427"/>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일반 AI 학습, 행동광고, 세션 녹화, 개인별 메일 열람 추적은 OFF 제안. 사적 콘텐츠 공개는 별도 허락.</w:t>
            </w:r>
          </w:p>
        </w:tc>
      </w:tr>
      <w:tr>
        <w:trPr>
          <w:cantSplit/>
        </w:trPr>
        <w:tc>
          <w:tcPr>
            <w:tcW w:type="dxa" w:w="2324"/>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이용대상</w:t>
            </w:r>
          </w:p>
        </w:tc>
        <w:tc>
          <w:tcPr>
            <w:tcW w:type="dxa" w:w="742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원문 18세 이상 제안을 유지. 실제 화면·약관과 함께 확정 필요.</w:t>
            </w:r>
          </w:p>
        </w:tc>
      </w:tr>
      <w:tr>
        <w:trPr>
          <w:cantSplit/>
        </w:trPr>
        <w:tc>
          <w:tcPr>
            <w:tcW w:type="dxa" w:w="232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외부 서비스</w:t>
            </w:r>
          </w:p>
        </w:tc>
        <w:tc>
          <w:tcPr>
            <w:tcW w:type="dxa" w:w="7427"/>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Resend와 Supabase는 과거 프로젝트 맥락으로만 반영. 무료 편지 AI 업체는 특정하지 않음. 현재 사용·계약·설정은 별도 검증.</w:t>
            </w:r>
          </w:p>
        </w:tc>
      </w:tr>
    </w:tbl>
    <w:p>
      <w:pPr>
        <w:keepNext w:val="0"/>
        <w:spacing w:after="40" w:before="0" w:line="40" w:lineRule="exact"/>
      </w:pPr>
    </w:p>
    <w:p>
      <w:pPr>
        <w:pStyle w:val="Heading2"/>
      </w:pPr>
      <w:r>
        <w:rPr>
          <w:rFonts w:ascii="Calibri" w:hAnsi="Calibri" w:eastAsia="Noto Sans CJK KR"/>
        </w:rPr>
        <w:t>남겨 둔 확인사항과 표시법</w:t>
      </w:r>
    </w:p>
    <w:p>
      <w:r>
        <w:rPr>
          <w:rFonts w:ascii="Calibri" w:hAnsi="Calibri" w:eastAsia="Noto Sans CJK KR"/>
          <w:b/>
          <w:shd w:fill="E8F3F6" w:val="clear"/>
        </w:rPr>
        <w:t>[PROPOSED]</w:t>
      </w:r>
      <w:r>
        <w:rPr>
          <w:rFonts w:ascii="Calibri" w:hAnsi="Calibri" w:eastAsia="Noto Sans CJK KR"/>
        </w:rPr>
        <w:t xml:space="preserve"> 작성 제안 · </w:t>
      </w:r>
      <w:r>
        <w:rPr>
          <w:rFonts w:ascii="Calibri" w:hAnsi="Calibri" w:eastAsia="Noto Sans CJK KR"/>
          <w:b/>
          <w:shd w:fill="E8F3F6" w:val="clear"/>
        </w:rPr>
        <w:t>[USER PLAN]</w:t>
      </w:r>
      <w:r>
        <w:rPr>
          <w:rFonts w:ascii="Calibri" w:hAnsi="Calibri" w:eastAsia="Noto Sans CJK KR"/>
        </w:rPr>
        <w:t xml:space="preserve"> 사용자 계획 · </w:t>
      </w:r>
      <w:r>
        <w:rPr>
          <w:rFonts w:ascii="Calibri" w:hAnsi="Calibri" w:eastAsia="Noto Sans CJK KR"/>
          <w:b/>
          <w:shd w:fill="E8F3F6" w:val="clear"/>
        </w:rPr>
        <w:t>[PRIOR SETUP]</w:t>
      </w:r>
      <w:r>
        <w:rPr>
          <w:rFonts w:ascii="Calibri" w:hAnsi="Calibri" w:eastAsia="Noto Sans CJK KR"/>
        </w:rPr>
        <w:t xml:space="preserve"> 과거 구성 · </w:t>
      </w:r>
      <w:r>
        <w:rPr>
          <w:rFonts w:ascii="Calibri" w:hAnsi="Calibri" w:eastAsia="Noto Sans CJK KR"/>
          <w:b/>
          <w:shd w:fill="FFF0B8" w:val="clear"/>
        </w:rPr>
        <w:t>[VERIFY]</w:t>
      </w:r>
      <w:r>
        <w:rPr>
          <w:rFonts w:ascii="Calibri" w:hAnsi="Calibri" w:eastAsia="Noto Sans CJK KR"/>
        </w:rPr>
        <w:t>/</w:t>
      </w:r>
      <w:r>
        <w:rPr>
          <w:rFonts w:ascii="Calibri" w:hAnsi="Calibri" w:eastAsia="Noto Sans CJK KR"/>
          <w:b/>
          <w:shd w:fill="FFF0B8" w:val="clear"/>
        </w:rPr>
        <w:t>[PENDING]</w:t>
      </w:r>
      <w:r>
        <w:rPr>
          <w:rFonts w:ascii="Calibri" w:hAnsi="Calibri" w:eastAsia="Noto Sans CJK KR"/>
        </w:rPr>
        <w:t xml:space="preserve"> 확인 또는 입력 필요. 이메일·시행일·주소의 시/구/우편번호, 실제 AI 업체, 인증 배포 방식, 외부 업체 처리국가·보관기간, 쿠키명·보안 설정·해외 대리인 필요 여부는 게시 전에 확정해야 합니다.</w:t>
      </w:r>
    </w:p>
    <w:p>
      <w:pPr>
        <w:pStyle w:val="Small"/>
      </w:pPr>
      <w:r>
        <w:rPr>
          <w:rFonts w:ascii="Calibri" w:hAnsi="Calibri" w:eastAsia="Noto Sans CJK KR"/>
        </w:rPr>
        <w:t>원문 1–12항과 Schedule A/B의 범위를 유지했습니다. 유료 결제·크레딧·펫 영상·기기/NFC·배송·킥스타터 리워드는 제외됩니다. 저장소 연결 오류로 현재 코드·운영 설정을 검증하지 못했습니다. 출처와 남은 검증 범위는 마지막 내부 메모에 기재했습니다.</w:t>
      </w:r>
    </w:p>
    <w:p>
      <w:pPr>
        <w:pStyle w:val="Small"/>
        <w:keepNext/>
        <w:pageBreakBefore/>
      </w:pPr>
      <w:r>
        <w:rPr>
          <w:rFonts w:ascii="Calibri" w:hAnsi="Calibri" w:eastAsia="Noto Sans CJK KR"/>
        </w:rPr>
        <w:t>PUBLIC-FACING WORDING — DRAFT; REMOVE REVIEW MARKERS ONLY AFTER VERIFICATION</w:t>
      </w:r>
    </w:p>
    <w:p>
      <w:pPr>
        <w:pStyle w:val="Heading1"/>
      </w:pPr>
      <w:r>
        <w:rPr>
          <w:rFonts w:ascii="Calibri" w:hAnsi="Calibri" w:cs="Calibri" w:eastAsia="Noto Sans CJK KR"/>
          <w:b w:val="0"/>
        </w:rPr>
        <w:t>Privacy Policy</w:t>
      </w:r>
    </w:p>
    <w:p>
      <w:r>
        <w:rPr>
          <w:rFonts w:ascii="Calibri" w:hAnsi="Calibri" w:cs="Calibri" w:eastAsia="Noto Sans CJK KR"/>
          <w:b/>
        </w:rPr>
        <w:t>SoulTrace &amp; Eternal Beam</w:t>
      </w:r>
    </w:p>
    <w:p>
      <w:r>
        <w:rPr>
          <w:rFonts w:ascii="Calibri" w:hAnsi="Calibri" w:eastAsia="Noto Sans CJK KR"/>
        </w:rPr>
        <w:t xml:space="preserve">Effective date: </w:t>
      </w:r>
      <w:r>
        <w:rPr>
          <w:rFonts w:ascii="Calibri" w:hAnsi="Calibri" w:eastAsia="Noto Sans CJK KR"/>
          <w:b/>
          <w:shd w:fill="FFF0B8" w:val="clear"/>
        </w:rPr>
        <w:t>[PENDING]</w:t>
      </w:r>
      <w:r>
        <w:rPr>
          <w:rFonts w:ascii="Calibri" w:hAnsi="Calibri" w:eastAsia="Noto Sans CJK KR"/>
        </w:rPr>
        <w:t xml:space="preserve"> Enter the date of the first approved publication.</w:t>
        <w:br/>
        <w:t>Last revised (draft): 21 September 2026</w:t>
      </w:r>
    </w:p>
    <w:p>
      <w:r>
        <w:rPr>
          <w:rFonts w:ascii="Calibri" w:hAnsi="Calibri" w:eastAsia="Noto Sans CJK KR"/>
        </w:rPr>
        <w:t>This Policy explains how 주식회사 토일렛 아카이브 (English name supplied by the operator: tva ltd) (“we”, “us”, or “our”) handles personal information for the SoulTrace (also styled “Soul Trace”) and Eternal Beam pre-launch campaign services described below. It applies to those services wherever they are offered, including in Korea, Japan, the United States and the European Economic Area (“EEA”). Additional local rights may apply.</w:t>
      </w:r>
    </w:p>
    <w:p>
      <w:r>
        <w:rPr>
          <w:rFonts w:ascii="Calibri" w:hAnsi="Calibri" w:cs="Calibri" w:eastAsia="Noto Sans CJK KR"/>
          <w:b w:val="0"/>
        </w:rPr>
        <w:t>The covered services are voluntary campaign/product-update emails and, where offered, a free personalized AI letter and associated stamp, email delivery, and storage in your service account. This Policy does not itself authorize data collection for future paid features, AI pet videos, physical-product delivery, connected devices or a new research purpose. We provide an updated or supplementary notice before collecting data for an additional service.</w:t>
      </w:r>
    </w:p>
    <w:p>
      <w:r>
        <w:rPr>
          <w:rFonts w:ascii="Calibri" w:hAnsi="Calibri" w:cs="Calibri" w:eastAsia="Noto Sans CJK KR"/>
          <w:b w:val="0"/>
        </w:rPr>
        <w:t>A Privacy Policy explains data practices; it is not blanket consent to every use. Any consent we request is identified separately for the relevant purpose. Declining optional marketing does not prevent you from using the free-letter service.</w:t>
      </w:r>
    </w:p>
    <w:p>
      <w:pPr>
        <w:pStyle w:val="Heading1"/>
      </w:pPr>
      <w:r>
        <w:rPr>
          <w:rFonts w:ascii="Calibri" w:hAnsi="Calibri" w:cs="Calibri" w:eastAsia="Noto Sans CJK KR"/>
          <w:b w:val="0"/>
        </w:rPr>
        <w:t>1. Data Controller</w:t>
      </w:r>
    </w:p>
    <w:tbl>
      <w:tblPr>
        <w:tblW w:type="auto" w:w="0"/>
        <w:jc w:val="center"/>
        <w:tblLayout w:type="fixed"/>
        <w:tblLook w:firstColumn="1" w:firstRow="1" w:lastColumn="0" w:lastRow="0" w:noHBand="0" w:noVBand="1" w:val="04A0"/>
      </w:tblPr>
      <w:tblGrid>
        <w:gridCol w:w="2891"/>
        <w:gridCol w:w="6860"/>
      </w:tblGrid>
      <w:tr>
        <w:trPr>
          <w:tblHeader/>
          <w:cantSplit/>
        </w:trPr>
        <w:tc>
          <w:tcPr>
            <w:tcW w:type="dxa" w:w="2891"/>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9"/>
              </w:rPr>
              <w:t>Controller detail</w:t>
            </w:r>
          </w:p>
        </w:tc>
        <w:tc>
          <w:tcPr>
            <w:tcW w:type="dxa" w:w="6860"/>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9"/>
              </w:rPr>
              <w:t>Information</w:t>
            </w:r>
          </w:p>
        </w:tc>
      </w:tr>
      <w:tr>
        <w:trPr>
          <w:cantSplit/>
        </w:trPr>
        <w:tc>
          <w:tcPr>
            <w:tcW w:type="dxa" w:w="2891"/>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9"/>
              </w:rPr>
              <w:t>Legal operator</w:t>
            </w:r>
          </w:p>
        </w:tc>
        <w:tc>
          <w:tcPr>
            <w:tcW w:type="dxa" w:w="6860"/>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주식회사 토일렛 아카이브 (English name supplied by the operator: tva ltd)</w:t>
            </w:r>
          </w:p>
        </w:tc>
      </w:tr>
      <w:tr>
        <w:trPr>
          <w:cantSplit/>
        </w:trPr>
        <w:tc>
          <w:tcPr>
            <w:tcW w:type="dxa" w:w="2891"/>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Registered / contact address (provided)</w:t>
            </w:r>
          </w:p>
        </w:tc>
        <w:tc>
          <w:tcPr>
            <w:tcW w:type="dxa" w:w="6860"/>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 xml:space="preserve">영등포로 3길 3 씨타워 804~806호, 대한민국 (Republic of Korea). </w:t>
            </w:r>
            <w:r>
              <w:rPr>
                <w:rFonts w:ascii="Calibri" w:hAnsi="Calibri" w:eastAsia="Noto Sans CJK KR"/>
                <w:b/>
                <w:sz w:val="18"/>
                <w:shd w:fill="FFF0B8" w:val="clear"/>
              </w:rPr>
              <w:t>[VERIFY]</w:t>
            </w:r>
            <w:r>
              <w:rPr>
                <w:rFonts w:ascii="Calibri" w:hAnsi="Calibri" w:eastAsia="Noto Sans CJK KR"/>
                <w:sz w:val="18"/>
              </w:rPr>
              <w:t xml:space="preserve"> Complete the city/district and postal code; no unverified English address is supplied.</w:t>
            </w:r>
          </w:p>
        </w:tc>
      </w:tr>
      <w:tr>
        <w:trPr>
          <w:cantSplit/>
        </w:trPr>
        <w:tc>
          <w:tcPr>
            <w:tcW w:type="dxa" w:w="2891"/>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9"/>
              </w:rPr>
              <w:t>Corporate representative</w:t>
            </w:r>
          </w:p>
        </w:tc>
        <w:tc>
          <w:tcPr>
            <w:tcW w:type="dxa" w:w="6860"/>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강효찬</w:t>
            </w:r>
          </w:p>
        </w:tc>
      </w:tr>
      <w:tr>
        <w:trPr>
          <w:cantSplit/>
        </w:trPr>
        <w:tc>
          <w:tcPr>
            <w:tcW w:type="dxa" w:w="2891"/>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9"/>
              </w:rPr>
              <w:t>Privacy contact / responsible team</w:t>
            </w:r>
          </w:p>
        </w:tc>
        <w:tc>
          <w:tcPr>
            <w:tcW w:type="dxa" w:w="6860"/>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최정선 (privacy contact / responsible person)</w:t>
            </w:r>
          </w:p>
        </w:tc>
      </w:tr>
      <w:tr>
        <w:trPr>
          <w:cantSplit/>
        </w:trPr>
        <w:tc>
          <w:tcPr>
            <w:tcW w:type="dxa" w:w="2891"/>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9"/>
              </w:rPr>
              <w:t>Email and telephone</w:t>
            </w:r>
          </w:p>
        </w:tc>
        <w:tc>
          <w:tcPr>
            <w:tcW w:type="dxa" w:w="6860"/>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[PENDING]</w:t>
            </w:r>
            <w:r>
              <w:rPr>
                <w:rFonts w:ascii="Calibri" w:hAnsi="Calibri" w:eastAsia="Noto Sans CJK KR"/>
                <w:sz w:val="18"/>
              </w:rPr>
              <w:t xml:space="preserve"> Dedicated privacy email to be inserted before publication.</w:t>
              <w:br/>
              <w:t>Telephone: 010-6418-8905 (international: +82-10-6418-8905)</w:t>
            </w:r>
          </w:p>
        </w:tc>
      </w:tr>
      <w:tr>
        <w:trPr>
          <w:cantSplit/>
        </w:trPr>
        <w:tc>
          <w:tcPr>
            <w:tcW w:type="dxa" w:w="2891"/>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9"/>
              </w:rPr>
              <w:t>EEA representative, if legally required</w:t>
            </w:r>
          </w:p>
        </w:tc>
        <w:tc>
          <w:tcPr>
            <w:tcW w:type="dxa" w:w="6860"/>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Whether an EEA representative is required remains unresolved. Add the appointed representative’s name, address and contact where required; do not treat the Korean privacy contact as an EEA appointment.</w:t>
            </w:r>
          </w:p>
        </w:tc>
      </w:tr>
    </w:tbl>
    <w:p>
      <w:pPr>
        <w:keepNext w:val="0"/>
        <w:spacing w:after="40" w:before="0" w:line="40" w:lineRule="exact"/>
      </w:pPr>
      <w:r>
        <w:rPr>
          <w:sz w:val="4"/>
        </w:rPr>
      </w:r>
    </w:p>
    <w:p>
      <w:r>
        <w:rPr>
          <w:rFonts w:ascii="Calibri" w:hAnsi="Calibri" w:cs="Calibri" w:eastAsia="Noto Sans CJK KR"/>
          <w:b w:val="0"/>
        </w:rPr>
        <w:t>SoulTrace and Eternal Beam are service names, not separate permissions to reuse your information. Any access across the two services remains limited to the purposes described in this Policy and your choices.</w:t>
      </w:r>
    </w:p>
    <w:p>
      <w:pPr>
        <w:pStyle w:val="Heading2"/>
      </w:pPr>
      <w:r>
        <w:rPr>
          <w:rFonts w:ascii="Calibri" w:hAnsi="Calibri" w:cs="Calibri" w:eastAsia="Noto Sans CJK KR"/>
          <w:b w:val="0"/>
        </w:rPr>
        <w:t>Required and optional information</w:t>
      </w:r>
    </w:p>
    <w:p>
      <w:r>
        <w:rPr>
          <w:rFonts w:ascii="Calibri" w:hAnsi="Calibri" w:cs="Calibri" w:eastAsia="Noto Sans CJK KR"/>
          <w:b w:val="0"/>
        </w:rPr>
        <w:t>Required fields are marked at the point of collection. Without information genuinely needed for a feature, we may be unable to provide that feature; we explain the specific effect before you submit it. A pet photograph is optional for the covered free-letter campaign. It is not required for campaign-update emails.</w:t>
      </w:r>
    </w:p>
    <w:p>
      <w:pPr>
        <w:pStyle w:val="Heading1"/>
        <w:pageBreakBefore/>
      </w:pPr>
      <w:r>
        <w:rPr>
          <w:rFonts w:ascii="Calibri" w:hAnsi="Calibri" w:cs="Calibri" w:eastAsia="Noto Sans CJK KR"/>
          <w:b w:val="0"/>
        </w:rPr>
        <w:t>2. Information Collected</w:t>
      </w:r>
    </w:p>
    <w:p>
      <w:pPr>
        <w:pStyle w:val="Heading2"/>
      </w:pPr>
      <w:r>
        <w:rPr>
          <w:rFonts w:ascii="Calibri" w:hAnsi="Calibri" w:cs="Calibri" w:eastAsia="Noto Sans CJK KR"/>
          <w:b w:val="0"/>
        </w:rPr>
        <w:t>2.1 Information you provide and content we generate</w:t>
      </w:r>
    </w:p>
    <w:tbl>
      <w:tblPr>
        <w:tblW w:type="auto" w:w="0"/>
        <w:jc w:val="center"/>
        <w:tblLayout w:type="fixed"/>
        <w:tblLook w:firstColumn="1" w:firstRow="1" w:lastColumn="0" w:lastRow="0" w:noHBand="0" w:noVBand="1" w:val="04A0"/>
      </w:tblPr>
      <w:tblGrid>
        <w:gridCol w:w="2494"/>
        <w:gridCol w:w="7257"/>
      </w:tblGrid>
      <w:tr>
        <w:trPr>
          <w:tblHeader/>
          <w:cantSplit/>
        </w:trPr>
        <w:tc>
          <w:tcPr>
            <w:tcW w:type="dxa" w:w="2494"/>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Flow / category</w:t>
            </w:r>
          </w:p>
        </w:tc>
        <w:tc>
          <w:tcPr>
            <w:tcW w:type="dxa" w:w="7257"/>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Information and scope</w:t>
            </w:r>
          </w:p>
        </w:tc>
      </w:tr>
      <w:tr>
        <w:trPr>
          <w:cantSplit/>
        </w:trPr>
        <w:tc>
          <w:tcPr>
            <w:tcW w:type="dxa" w:w="2494"/>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Email sign-up</w:t>
            </w:r>
          </w:p>
        </w:tc>
        <w:tc>
          <w:tcPr>
            <w:tcW w:type="dxa" w:w="7257"/>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Your email address; language preference if selected; campaign source where recorded; and the record of your marketing choice. No pet photograph or questionnaire is needed for email sign-up.</w:t>
            </w:r>
          </w:p>
        </w:tc>
      </w:tr>
      <w:tr>
        <w:trPr>
          <w:cantSplit/>
        </w:trPr>
        <w:tc>
          <w:tcPr>
            <w:tcW w:type="dxa" w:w="2494"/>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Free-letter request</w:t>
            </w:r>
          </w:p>
        </w:tc>
        <w:tc>
          <w:tcPr>
            <w:tcW w:type="dxa" w:w="725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Email address; pet name/nickname, type and breed; relationship duration; intended letter recipient or designation; answers to the memory questions; and the tone/style you select. The form identifies which of these fields are required for your request.</w:t>
            </w:r>
          </w:p>
        </w:tc>
      </w:tr>
      <w:tr>
        <w:trPr>
          <w:cantSplit/>
        </w:trPr>
        <w:tc>
          <w:tcPr>
            <w:tcW w:type="dxa" w:w="2494"/>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Optional upload</w:t>
            </w:r>
          </w:p>
        </w:tc>
        <w:tc>
          <w:tcPr>
            <w:tcW w:type="dxa" w:w="7257"/>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A pet photograph you choose to submit and image information needed to process it. Handling of embedded metadata is specified in Schedule B.</w:t>
            </w:r>
          </w:p>
        </w:tc>
      </w:tr>
      <w:tr>
        <w:trPr>
          <w:cantSplit/>
        </w:trPr>
        <w:tc>
          <w:tcPr>
            <w:tcW w:type="dxa" w:w="2494"/>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Account access and archive</w:t>
            </w:r>
          </w:p>
        </w:tc>
        <w:tc>
          <w:tcPr>
            <w:tcW w:type="dxa" w:w="725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Account identifier and authentication-related data for the sign-in method used; the generated letter, stamp and associated submitted photograph stored for later access. Original answers have a separate retention rule in Section 6.</w:t>
            </w:r>
          </w:p>
        </w:tc>
      </w:tr>
      <w:tr>
        <w:trPr>
          <w:cantSplit/>
        </w:trPr>
        <w:tc>
          <w:tcPr>
            <w:tcW w:type="dxa" w:w="2494"/>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Support and privacy choices</w:t>
            </w:r>
          </w:p>
        </w:tc>
        <w:tc>
          <w:tcPr>
            <w:tcW w:type="dxa" w:w="7257"/>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Messages you send us, the information needed to resolve a request, purpose-specific consent choices, notice/version and language shown, timestamps, and withdrawal history.</w:t>
            </w:r>
          </w:p>
        </w:tc>
      </w:tr>
    </w:tbl>
    <w:p>
      <w:pPr>
        <w:keepNext w:val="0"/>
        <w:spacing w:after="40" w:before="0" w:line="40" w:lineRule="exact"/>
      </w:pPr>
      <w:r>
        <w:rPr>
          <w:sz w:val="4"/>
        </w:rPr>
      </w:r>
    </w:p>
    <w:p>
      <w:pPr>
        <w:pStyle w:val="Heading2"/>
      </w:pPr>
      <w:r>
        <w:rPr>
          <w:rFonts w:ascii="Calibri" w:hAnsi="Calibri" w:cs="Calibri" w:eastAsia="Noto Sans CJK KR"/>
          <w:b w:val="0"/>
        </w:rPr>
        <w:t>2.2 Technical information and storage technologies</w:t>
      </w:r>
    </w:p>
    <w:p>
      <w:r>
        <w:rPr>
          <w:rFonts w:ascii="Calibri" w:hAnsi="Calibri" w:eastAsia="Noto Sans CJK KR"/>
        </w:rPr>
        <w:t xml:space="preserve">Schedule B sets out the proposed minimum technical records and storage technologies for this campaign. </w:t>
      </w:r>
      <w:r>
        <w:rPr>
          <w:rFonts w:ascii="Calibri" w:hAnsi="Calibri" w:eastAsia="Noto Sans CJK KR"/>
          <w:b/>
          <w:shd w:fill="FFF0B8" w:val="clear"/>
        </w:rPr>
        <w:t>[VERIFY]</w:t>
      </w:r>
      <w:r>
        <w:rPr>
          <w:rFonts w:ascii="Calibri" w:hAnsi="Calibri" w:eastAsia="Noto Sans CJK KR"/>
        </w:rPr>
        <w:t xml:space="preserve"> Exact deployed fields, cookie names and lifetimes have not been audited. Replace the marked entries with the actual register before publication. No unlisted analytics or advertising tool is treated as essential merely because it is installed.</w:t>
      </w:r>
    </w:p>
    <w:p>
      <w:r>
        <w:rPr>
          <w:rFonts w:ascii="Calibri" w:hAnsi="Calibri" w:cs="Calibri" w:eastAsia="Noto Sans CJK KR"/>
          <w:b w:val="0"/>
        </w:rPr>
        <w:t>Under this campaign version, cross-site advertising identifiers, customer-list matching, session replay and individual email-open tracking are not enabled. Any later optional tracking will be described and, where required, remain off until you consent. You can change a consent-based tracking choice without losing essential access.</w:t>
      </w:r>
    </w:p>
    <w:p>
      <w:pPr>
        <w:pStyle w:val="Heading2"/>
      </w:pPr>
      <w:r>
        <w:rPr>
          <w:rFonts w:ascii="Calibri" w:hAnsi="Calibri" w:cs="Calibri" w:eastAsia="Noto Sans CJK KR"/>
          <w:b w:val="0"/>
        </w:rPr>
        <w:t>2.3 Information from other sources</w:t>
      </w:r>
    </w:p>
    <w:p>
      <w:r>
        <w:rPr>
          <w:rFonts w:ascii="Calibri" w:hAnsi="Calibri" w:cs="Calibri" w:eastAsia="Noto Sans CJK KR"/>
          <w:b w:val="0"/>
        </w:rPr>
        <w:t>If you follow a QR code or referral link, the campaign/source identifier actually received is listed in Schedule B. Visiting a partner, scanning a QR code or backing a Kickstarter project is not, by itself, permission for marketing emails.</w:t>
      </w:r>
    </w:p>
    <w:p>
      <w:r>
        <w:rPr>
          <w:rFonts w:ascii="Calibri" w:hAnsi="Calibri" w:cs="Calibri" w:eastAsia="Noto Sans CJK KR"/>
          <w:b w:val="0"/>
        </w:rPr>
        <w:t>We do not import a Kickstarter backer list into the marketing list without a separate valid marketing choice. Any later use of backer information to manage rewards will have a supplementary notice identifying the source, fields, purposes, recipients and retention. Kickstarter and other independent platforms operate under their own privacy notices for their own processing.</w:t>
      </w:r>
    </w:p>
    <w:p>
      <w:pPr>
        <w:pStyle w:val="Heading2"/>
      </w:pPr>
      <w:r>
        <w:rPr>
          <w:rFonts w:ascii="Calibri" w:hAnsi="Calibri" w:cs="Calibri" w:eastAsia="Noto Sans CJK KR"/>
          <w:b w:val="0"/>
        </w:rPr>
        <w:t>2.4 Information about people in your content</w:t>
      </w:r>
    </w:p>
    <w:p>
      <w:r>
        <w:rPr>
          <w:rFonts w:ascii="Calibri" w:hAnsi="Calibri" w:cs="Calibri" w:eastAsia="Noto Sans CJK KR"/>
          <w:b w:val="0"/>
        </w:rPr>
        <w:t>Pet-related content can include personal information about you or others. Please avoid unnecessary human health details, identity-document numbers, precise addresses, and photos of people who have not appropriately authorized their inclusion. We do not request health information about people or use the covered campaign to diagnose, score or profile a person’s mental health. Contact us if personal information was included by mistake. These precautions do not reduce our obligations for information we actually receive.</w:t>
      </w:r>
    </w:p>
    <w:p>
      <w:pPr>
        <w:pStyle w:val="Heading1"/>
        <w:pageBreakBefore/>
      </w:pPr>
      <w:r>
        <w:rPr>
          <w:rFonts w:ascii="Calibri" w:hAnsi="Calibri" w:cs="Calibri" w:eastAsia="Noto Sans CJK KR"/>
          <w:b w:val="0"/>
        </w:rPr>
        <w:t>3. Use of Information</w:t>
      </w:r>
    </w:p>
    <w:p>
      <w:pPr>
        <w:pStyle w:val="Heading2"/>
      </w:pPr>
      <w:r>
        <w:rPr>
          <w:rFonts w:ascii="Calibri" w:hAnsi="Calibri" w:cs="Calibri" w:eastAsia="Noto Sans CJK KR"/>
          <w:b w:val="0"/>
        </w:rPr>
        <w:t>3.1 Generation and delivery of the letter</w:t>
      </w:r>
    </w:p>
    <w:p>
      <w:r>
        <w:rPr>
          <w:rFonts w:ascii="Calibri" w:hAnsi="Calibri" w:cs="Calibri" w:eastAsia="Noto Sans CJK KR"/>
          <w:b w:val="0"/>
        </w:rPr>
        <w:t>We use the information you submit for the requested letter and stamp, transmit the relevant inputs to the AI providers identified in Schedule A, and send the result or access link to your email address. AI-generated letters are creative outputs based on submitted information; they do not communicate a pet’s actual thoughts and are not clinical advice. The covered campaign does not make solely automated decisions producing legal or similarly significant effects about you.</w:t>
      </w:r>
    </w:p>
    <w:p>
      <w:pPr>
        <w:pStyle w:val="Heading2"/>
      </w:pPr>
      <w:r>
        <w:rPr>
          <w:rFonts w:ascii="Calibri" w:hAnsi="Calibri" w:cs="Calibri" w:eastAsia="Noto Sans CJK KR"/>
          <w:b w:val="0"/>
        </w:rPr>
        <w:t>3.2 Storage within your service account</w:t>
      </w:r>
    </w:p>
    <w:p>
      <w:r>
        <w:rPr>
          <w:rFonts w:ascii="Calibri" w:hAnsi="Calibri" w:eastAsia="Noto Sans CJK KR"/>
        </w:rPr>
        <w:t xml:space="preserve">In the account-based letter flow, the generated letter, stamp and associated photograph are saved in your SoulTrace/Eternal Beam account for you to access again. Saving is explained before submission. Retention of raw answers and temporary files is separate from retention of the finished archive. We do not automatically turn a one-time answer into a cross-service behavioral profile or a general training dataset. </w:t>
      </w:r>
      <w:r>
        <w:rPr>
          <w:rFonts w:ascii="Calibri" w:hAnsi="Calibri" w:eastAsia="Noto Sans CJK KR"/>
          <w:b/>
          <w:shd w:fill="E8F3F6" w:val="clear"/>
        </w:rPr>
        <w:t>[USER PLAN]</w:t>
      </w:r>
      <w:r>
        <w:rPr>
          <w:rFonts w:ascii="Calibri" w:hAnsi="Calibri" w:eastAsia="Noto Sans CJK KR"/>
        </w:rPr>
        <w:t xml:space="preserve"> The primary archive will use company-operated local servers. </w:t>
      </w:r>
      <w:r>
        <w:rPr>
          <w:rFonts w:ascii="Calibri" w:hAnsi="Calibri" w:eastAsia="Noto Sans CJK KR"/>
          <w:b/>
          <w:shd w:fill="FFF0B8" w:val="clear"/>
        </w:rPr>
        <w:t>[VERIFY]</w:t>
      </w:r>
      <w:r>
        <w:rPr>
          <w:rFonts w:ascii="Calibri" w:hAnsi="Calibri" w:eastAsia="Noto Sans CJK KR"/>
        </w:rPr>
        <w:t xml:space="preserve"> Server, backup and authorized remote-access countries, migration of any existing cloud copies, and effective deletion must be checked before this is described as a live arrangement.</w:t>
      </w:r>
    </w:p>
    <w:p>
      <w:pPr>
        <w:pStyle w:val="Heading2"/>
      </w:pPr>
      <w:r>
        <w:rPr>
          <w:rFonts w:ascii="Calibri" w:hAnsi="Calibri" w:cs="Calibri" w:eastAsia="Noto Sans CJK KR"/>
          <w:b w:val="0"/>
        </w:rPr>
        <w:t>3.3 Marketing communications — optional</w:t>
      </w:r>
    </w:p>
    <w:p>
      <w:r>
        <w:rPr>
          <w:rFonts w:ascii="Calibri" w:hAnsi="Calibri" w:cs="Calibri" w:eastAsia="Noto Sans CJK KR"/>
          <w:b w:val="0"/>
        </w:rPr>
        <w:t>When you opt in, we use your email address and stated language preference to send SoulTrace and Eternal Beam campaign announcements, Kickstarter launch notices, product news and related promotional updates. You may unsubscribe at any time. Security messages, requested letter delivery and necessary account notices are kept separate from promotional mail. Requesting a letter does not subscribe you to marketing.</w:t>
      </w:r>
    </w:p>
    <w:p>
      <w:pPr>
        <w:pStyle w:val="Heading2"/>
      </w:pPr>
      <w:r>
        <w:rPr>
          <w:rFonts w:ascii="Calibri" w:hAnsi="Calibri" w:cs="Calibri" w:eastAsia="Noto Sans CJK KR"/>
          <w:b w:val="0"/>
        </w:rPr>
        <w:t>3.4 AI development and improvement — not enabled for this campaign</w:t>
      </w:r>
    </w:p>
    <w:p>
      <w:r>
        <w:rPr>
          <w:rFonts w:ascii="Calibri" w:hAnsi="Calibri" w:cs="Calibri" w:eastAsia="Noto Sans CJK KR"/>
          <w:b w:val="0"/>
        </w:rPr>
        <w:t>Your questionnaire answers, photographs and letters are not enrolled in a general AI development, model-training or fine-tuning program under this campaign version. Using an AI service to generate your requested result is different from permitting reuse for model training. Provider handling, including any service-security retention, is detailed in Schedule A.</w:t>
      </w:r>
    </w:p>
    <w:p>
      <w:r>
        <w:rPr>
          <w:rFonts w:ascii="Calibri" w:hAnsi="Calibri" w:cs="Calibri" w:eastAsia="Noto Sans CJK KR"/>
          <w:b w:val="0"/>
        </w:rPr>
        <w:t>If we later offer optional development participation, we will explain the specific data, models/purposes, human review, recipients, retention and withdrawal effects separately before participation begins. Refusing will not affect letter generation or access to an existing letter.</w:t>
      </w:r>
    </w:p>
    <w:p>
      <w:pPr>
        <w:pStyle w:val="Heading2"/>
      </w:pPr>
      <w:r>
        <w:rPr>
          <w:rFonts w:ascii="Calibri" w:hAnsi="Calibri" w:cs="Calibri" w:eastAsia="Noto Sans CJK KR"/>
          <w:b w:val="0"/>
        </w:rPr>
        <w:t>3.5 Support, security and compliance</w:t>
      </w:r>
    </w:p>
    <w:p>
      <w:r>
        <w:rPr>
          <w:rFonts w:ascii="Calibri" w:hAnsi="Calibri" w:cs="Calibri" w:eastAsia="Noto Sans CJK KR"/>
          <w:b w:val="0"/>
        </w:rPr>
        <w:t>We use limited records to resolve support requests, protect accounts and the service, investigate abuse, document privacy choices and comply with applicable requirements. Authorized staff or service providers may access content only where needed for these tasks or to resolve a particular generation problem. Any routine human review beyond these purposes requires its own clear description and lawful basis.</w:t>
      </w:r>
    </w:p>
    <w:p>
      <w:pPr>
        <w:pStyle w:val="Heading2"/>
      </w:pPr>
      <w:r>
        <w:rPr>
          <w:rFonts w:ascii="Calibri" w:hAnsi="Calibri" w:cs="Calibri" w:eastAsia="Noto Sans CJK KR"/>
          <w:b w:val="0"/>
        </w:rPr>
        <w:t>3.6 Processing grounds</w:t>
      </w:r>
    </w:p>
    <w:p>
      <w:r>
        <w:rPr>
          <w:rFonts w:ascii="Calibri" w:hAnsi="Calibri" w:cs="Calibri" w:eastAsia="Noto Sans CJK KR"/>
          <w:b w:val="0"/>
        </w:rPr>
        <w:t>For EEA users, the requested letter, delivery and agreed account storage rely on contractual necessity where objectively necessary. Optional marketing relies on consent. Necessary security, fraud prevention, support administration and the protection of legal rights may rely on legitimate interests, subject to balancing your rights. A qualifying EU/Member State legal obligation is relied on where applicable. We do not treat every obligation under a non-EEA law as automatically satisfying that GDPR ground. Where local law requires separate consent or other conditions, the corresponding notice and choice are provided.</w:t>
      </w:r>
    </w:p>
    <w:p>
      <w:pPr>
        <w:pStyle w:val="Heading2"/>
      </w:pPr>
      <w:r>
        <w:rPr>
          <w:rFonts w:ascii="Calibri" w:hAnsi="Calibri" w:cs="Calibri" w:eastAsia="Noto Sans CJK KR"/>
          <w:b w:val="0"/>
        </w:rPr>
        <w:t>3.7 Public use of your content</w:t>
      </w:r>
    </w:p>
    <w:p>
      <w:r>
        <w:rPr>
          <w:rFonts w:ascii="Calibri" w:hAnsi="Calibri" w:cs="Calibri" w:eastAsia="Noto Sans CJK KR"/>
          <w:b w:val="0"/>
        </w:rPr>
        <w:t>We do not publish your private photographs, letters, answers or testimonials in advertising, a public gallery or a Kickstarter campaign without a separate, specific permission identifying the material and use. Marketing-email consent and AI-development consent do not provide that permission.</w:t>
      </w:r>
    </w:p>
    <w:p>
      <w:pPr>
        <w:pStyle w:val="Heading1"/>
        <w:pageBreakBefore/>
      </w:pPr>
      <w:r>
        <w:rPr>
          <w:rFonts w:ascii="Calibri" w:hAnsi="Calibri" w:cs="Calibri" w:eastAsia="Noto Sans CJK KR"/>
          <w:b w:val="0"/>
        </w:rPr>
        <w:t>4. Disclosure of Information</w:t>
      </w:r>
    </w:p>
    <w:p>
      <w:pPr>
        <w:pStyle w:val="Heading2"/>
      </w:pPr>
      <w:r>
        <w:rPr>
          <w:rFonts w:ascii="Calibri" w:hAnsi="Calibri" w:cs="Calibri" w:eastAsia="Noto Sans CJK KR"/>
          <w:b w:val="0"/>
        </w:rPr>
        <w:t>4.1 Providers and their roles</w:t>
      </w:r>
    </w:p>
    <w:p>
      <w:r>
        <w:rPr>
          <w:rFonts w:ascii="Calibri" w:hAnsi="Calibri" w:eastAsia="Noto Sans CJK KR"/>
        </w:rPr>
        <w:t xml:space="preserve">Schedule A distinguishes company-operated local storage, historically selected services and unresolved AI routing. </w:t>
      </w:r>
      <w:r>
        <w:rPr>
          <w:rFonts w:ascii="Calibri" w:hAnsi="Calibri" w:eastAsia="Noto Sans CJK KR"/>
          <w:b/>
          <w:shd w:fill="FFF0B8" w:val="clear"/>
        </w:rPr>
        <w:t>[VERIFY]</w:t>
      </w:r>
      <w:r>
        <w:rPr>
          <w:rFonts w:ascii="Calibri" w:hAnsi="Calibri" w:eastAsia="Noto Sans CJK KR"/>
        </w:rPr>
        <w:t xml:space="preserve"> It is not yet a verified live-provider register. Only recipients and routes that have been confirmed, lawfully established and disclosed may appear in the published policy or receive campaign data under this launch design.</w:t>
      </w:r>
    </w:p>
    <w:p>
      <w:r>
        <w:rPr>
          <w:rFonts w:ascii="Calibri" w:hAnsi="Calibri" w:cs="Calibri" w:eastAsia="Noto Sans CJK KR"/>
          <w:b w:val="0"/>
        </w:rPr>
        <w:t>For providers acting on our instructions, we require appropriate contractual privacy and security protections and purpose limits. Some platforms may act as independent controllers for specific operations, such as their own legal or security obligations; any such role must be identified in Schedule A rather than hidden under a blanket “processor” label. The covered inputs are not supplied for an external provider’s independent general-model training under this campaign profile.</w:t>
      </w:r>
    </w:p>
    <w:p>
      <w:pPr>
        <w:pStyle w:val="Heading2"/>
      </w:pPr>
      <w:r>
        <w:rPr>
          <w:rFonts w:ascii="Calibri" w:hAnsi="Calibri" w:cs="Calibri" w:eastAsia="Noto Sans CJK KR"/>
          <w:b w:val="0"/>
        </w:rPr>
        <w:t>4.2 Referral and channel partners</w:t>
      </w:r>
    </w:p>
    <w:p>
      <w:r>
        <w:rPr>
          <w:rFonts w:ascii="Calibri" w:hAnsi="Calibri" w:cs="Calibri" w:eastAsia="Noto Sans CJK KR"/>
          <w:b w:val="0"/>
        </w:rPr>
        <w:t>Partners do not receive your private answers, letters or photographs merely because they referred you. Any attributable campaign identifiers or reports shared with a partner must be described in Schedule B and restricted to what is necessary and lawful. Sharing personal data for a new referral, sale or fulfillment arrangement requires appropriate notice and any required consent.</w:t>
      </w:r>
    </w:p>
    <w:p>
      <w:pPr>
        <w:pStyle w:val="Heading2"/>
      </w:pPr>
      <w:r>
        <w:rPr>
          <w:rFonts w:ascii="Calibri" w:hAnsi="Calibri" w:cs="Calibri" w:eastAsia="Noto Sans CJK KR"/>
          <w:b w:val="0"/>
        </w:rPr>
        <w:t>4.3 Legal requirements and business changes</w:t>
      </w:r>
    </w:p>
    <w:p>
      <w:r>
        <w:rPr>
          <w:rFonts w:ascii="Calibri" w:hAnsi="Calibri" w:cs="Calibri" w:eastAsia="Noto Sans CJK KR"/>
          <w:b w:val="0"/>
        </w:rPr>
        <w:t>We may disclose information where required or otherwise lawfully justified to address legal processes, protect legal rights or manage a business transfer. Any such disclosure is limited by applicable law and appropriate confidentiality safeguards. A business transfer does not automatically authorize unrelated marketing or model training; notice and additional permission are provided where required.</w:t>
      </w:r>
    </w:p>
    <w:p>
      <w:pPr>
        <w:pStyle w:val="Heading2"/>
      </w:pPr>
      <w:r>
        <w:rPr>
          <w:rFonts w:ascii="Calibri" w:hAnsi="Calibri" w:cs="Calibri" w:eastAsia="Noto Sans CJK KR"/>
          <w:b w:val="0"/>
        </w:rPr>
        <w:t>4.4 Sale, advertising sharing and profiling</w:t>
      </w:r>
    </w:p>
    <w:p>
      <w:r>
        <w:rPr>
          <w:rFonts w:ascii="Calibri" w:hAnsi="Calibri" w:cs="Calibri" w:eastAsia="Noto Sans CJK KR"/>
          <w:b w:val="0"/>
        </w:rPr>
        <w:t>Under this campaign profile, we do not sell personal information, disclose it for cross-context behavioral advertising, or use it for targeted advertising or consequential profiling. Schedule B records any relevant prior-period disclosures and the categories handled. Where an applicable law requires recognition of an opt-out preference signal such as Global Privacy Control, we honor it for the processing to which it applies.</w:t>
      </w:r>
    </w:p>
    <w:p>
      <w:pPr>
        <w:pStyle w:val="Heading1"/>
      </w:pPr>
      <w:r>
        <w:rPr>
          <w:rFonts w:ascii="Calibri" w:hAnsi="Calibri" w:cs="Calibri" w:eastAsia="Noto Sans CJK KR"/>
          <w:b w:val="0"/>
        </w:rPr>
        <w:t>5. International Data Transfers</w:t>
      </w:r>
    </w:p>
    <w:p>
      <w:r>
        <w:rPr>
          <w:rFonts w:ascii="Calibri" w:hAnsi="Calibri" w:eastAsia="Noto Sans CJK KR"/>
        </w:rPr>
        <w:t xml:space="preserve">We operate from Korea. </w:t>
      </w:r>
      <w:r>
        <w:rPr>
          <w:rFonts w:ascii="Calibri" w:hAnsi="Calibri" w:eastAsia="Noto Sans CJK KR"/>
          <w:b/>
          <w:shd w:fill="E8F3F6" w:val="clear"/>
        </w:rPr>
        <w:t>[USER PLAN]</w:t>
      </w:r>
      <w:r>
        <w:rPr>
          <w:rFonts w:ascii="Calibri" w:hAnsi="Calibri" w:eastAsia="Noto Sans CJK KR"/>
        </w:rPr>
        <w:t xml:space="preserve"> The primary service archive will be stored on company-operated local servers; domestic server and backup locations are the proposed deployment baseline, not a verified installation fact. Local storage does not exclude external AI processing, email delivery, cloud authentication, backup copies or authorized overseas access. Schedule A must identify the actual countries and safeguards for each such route. Contact the privacy contact in Section 12 for safeguard information.</w:t>
      </w:r>
    </w:p>
    <w:p>
      <w:r>
        <w:rPr>
          <w:rFonts w:ascii="Calibri" w:hAnsi="Calibri" w:cs="Calibri" w:eastAsia="Noto Sans CJK KR"/>
          <w:b w:val="0"/>
        </w:rPr>
        <w:t>Korea: where the Personal Information Protection Act requires an overseas-transfer notice or separate consent, we provide the required data items, recipient and contact, country, timing/method, purpose, retention, refusal method and effects. We identify the actual permitted transfer route; this Policy is not a blanket substitute for consent.</w:t>
      </w:r>
    </w:p>
    <w:p>
      <w:r>
        <w:rPr>
          <w:rFonts w:ascii="Calibri" w:hAnsi="Calibri" w:cs="Calibri" w:eastAsia="Noto Sans CJK KR"/>
          <w:b w:val="0"/>
        </w:rPr>
        <w:t>Japan: where APPI foreign-recipient requirements apply, we identify the actual route used. If consent is the route, we provide the relevant foreign-country protection information and recipient safeguards before consent. Where reliance is on equivalent protective measures, we maintain the required arrangements and provide information as required. Direct submission to us and onward disclosure to another entity are assessed separately.</w:t>
      </w:r>
    </w:p>
    <w:p>
      <w:r>
        <w:rPr>
          <w:rFonts w:ascii="Calibri" w:hAnsi="Calibri" w:cs="Calibri" w:eastAsia="Noto Sans CJK KR"/>
          <w:b w:val="0"/>
        </w:rPr>
        <w:t>EEA: transfers requiring GDPR Chapter V safeguards use an applicable adequacy decision or appropriate safeguards such as the correct Standard Contractual Clauses, with any required assessment and supplementary measures. A lawful transfer to Korea does not automatically cover every onward transfer. For UK or Australian processing within scope, applicable local overseas-transfer requirements are assessed separately.</w:t>
      </w:r>
    </w:p>
    <w:p>
      <w:pPr>
        <w:pStyle w:val="Heading1"/>
        <w:pageBreakBefore/>
      </w:pPr>
      <w:r>
        <w:rPr>
          <w:rFonts w:ascii="Calibri" w:hAnsi="Calibri" w:cs="Calibri" w:eastAsia="Noto Sans CJK KR"/>
          <w:b w:val="0"/>
        </w:rPr>
        <w:t>6. Data Retention and Deletion</w:t>
      </w:r>
    </w:p>
    <w:p>
      <w:r>
        <w:rPr>
          <w:rFonts w:ascii="Calibri" w:hAnsi="Calibri" w:eastAsia="Noto Sans CJK KR"/>
        </w:rPr>
        <w:t xml:space="preserve">We retain each category only for its stated purpose and the period or objective criterion below. A deletion request, withdrawal of consent and account closure have different effects. Any mandatory retention is limited to the particular records covered by the applicable requirement, not your entire archive. </w:t>
      </w:r>
      <w:r>
        <w:rPr>
          <w:rFonts w:ascii="Calibri" w:hAnsi="Calibri" w:eastAsia="Noto Sans CJK KR"/>
          <w:b/>
          <w:shd w:fill="E8F3F6" w:val="clear"/>
        </w:rPr>
        <w:t>[PROPOSED]</w:t>
      </w:r>
      <w:r>
        <w:rPr>
          <w:rFonts w:ascii="Calibri" w:hAnsi="Calibri" w:eastAsia="Noto Sans CJK KR"/>
        </w:rPr>
        <w:t xml:space="preserve"> The numeric periods below are this draft’s operating limits. They are not universal statutory periods and have not been verified against deletion jobs, vendor contracts or each served jurisdiction. A shorter justified period or a specifically applicable mandatory period takes priority after review.</w:t>
      </w:r>
    </w:p>
    <w:tbl>
      <w:tblPr>
        <w:tblW w:type="auto" w:w="0"/>
        <w:jc w:val="center"/>
        <w:tblLayout w:type="fixed"/>
        <w:tblLook w:firstColumn="1" w:firstRow="1" w:lastColumn="0" w:lastRow="0" w:noHBand="0" w:noVBand="1" w:val="04A0"/>
      </w:tblPr>
      <w:tblGrid>
        <w:gridCol w:w="2268"/>
        <w:gridCol w:w="3969"/>
        <w:gridCol w:w="3515"/>
      </w:tblGrid>
      <w:tr>
        <w:trPr>
          <w:tblHeader/>
          <w:cantSplit/>
        </w:trPr>
        <w:tc>
          <w:tcPr>
            <w:tcW w:type="dxa" w:w="2268"/>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Data / purpose</w:t>
            </w:r>
          </w:p>
        </w:tc>
        <w:tc>
          <w:tcPr>
            <w:tcW w:type="dxa" w:w="3969"/>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Retention or trigger</w:t>
            </w:r>
          </w:p>
        </w:tc>
        <w:tc>
          <w:tcPr>
            <w:tcW w:type="dxa" w:w="3515"/>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Effect after the trigger</w:t>
            </w:r>
          </w:p>
        </w:tc>
      </w:tr>
      <w:tr>
        <w:trPr>
          <w:cantSplit/>
        </w:trPr>
        <w:tc>
          <w:tcPr>
            <w:tcW w:type="dxa" w:w="226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Marketing email and preferences</w:t>
            </w:r>
          </w:p>
        </w:tc>
        <w:tc>
          <w:tcPr>
            <w:tcW w:type="dxa" w:w="3969"/>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Until withdrawal, campaign closure, or 12 months after the latest explicit marketing opt-in or renewed opt-in, whichever is earliest. Email opening and ordinary account use do not restart this period.</w:t>
            </w:r>
          </w:p>
        </w:tc>
        <w:tc>
          <w:tcPr>
            <w:tcW w:type="dxa" w:w="3515"/>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Remove from active marketing. Keep only the justified consent or suppression record below; do not close the user’s archive.</w:t>
            </w:r>
          </w:p>
        </w:tc>
      </w:tr>
      <w:tr>
        <w:trPr>
          <w:cantSplit/>
        </w:trPr>
        <w:tc>
          <w:tcPr>
            <w:tcW w:type="dxa" w:w="226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Raw questionnaire answers and generation inputs</w:t>
            </w:r>
          </w:p>
        </w:tc>
        <w:tc>
          <w:tcPr>
            <w:tcW w:type="dxa" w:w="3969"/>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Up to 30 days after successful result delivery/access-link delivery for correction and delivery troubleshooting. Failed or abandoned work follows the 7-day rule below.</w:t>
            </w:r>
          </w:p>
        </w:tc>
        <w:tc>
          <w:tcPr>
            <w:tcW w:type="dxa" w:w="3515"/>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Delete raw input copies. Only answers the user expressly chooses to save as archive content follow the archive rule; no general-training reuse.</w:t>
            </w:r>
          </w:p>
        </w:tc>
      </w:tr>
      <w:tr>
        <w:trPr>
          <w:cantSplit/>
        </w:trPr>
        <w:tc>
          <w:tcPr>
            <w:tcW w:type="dxa" w:w="226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Finished letter, stamp and saved photograph</w:t>
            </w:r>
          </w:p>
        </w:tc>
        <w:tc>
          <w:tcPr>
            <w:tcW w:type="dxa" w:w="3969"/>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Until the user deletes the item or closes the relevant account, unless an earlier disclosed service-closure rule applies. This is the archive rule retained from the source draft.</w:t>
            </w:r>
          </w:p>
        </w:tc>
        <w:tc>
          <w:tcPr>
            <w:tcW w:type="dxa" w:w="3515"/>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Delete live archive copies without undue delay, subject to limited lawful exceptions. Company backups expire under the separate rule below.</w:t>
            </w:r>
          </w:p>
        </w:tc>
      </w:tr>
      <w:tr>
        <w:trPr>
          <w:cantSplit/>
        </w:trPr>
        <w:tc>
          <w:tcPr>
            <w:tcW w:type="dxa" w:w="226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Abandoned uploads and temporary/failed jobs</w:t>
            </w:r>
          </w:p>
        </w:tc>
        <w:tc>
          <w:tcPr>
            <w:tcW w:type="dxa" w:w="3969"/>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No more than 7 days from creation of each temporary object, with earlier deletion once unnecessary. Unsanitized image originals follow Schedule B’s stricter 24-hour limit.</w:t>
            </w:r>
          </w:p>
        </w:tc>
        <w:tc>
          <w:tcPr>
            <w:tcW w:type="dxa" w:w="3515"/>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Delete temporary files, temporary derivatives and unnecessary job content. A retry must not silently renew retention of the old object.</w:t>
            </w:r>
          </w:p>
        </w:tc>
      </w:tr>
      <w:tr>
        <w:trPr>
          <w:cantSplit/>
        </w:trPr>
        <w:tc>
          <w:tcPr>
            <w:tcW w:type="dxa" w:w="226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Authentication, security and error records</w:t>
            </w:r>
          </w:p>
        </w:tc>
        <w:tc>
          <w:tcPr>
            <w:tcW w:type="dxa" w:w="3969"/>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Ordinary service/authentication/security logs: 90 days from the event; delivery/debug error records: 30 days. Administrator access records and legal holds are separately assessed below.</w:t>
            </w:r>
          </w:p>
        </w:tc>
        <w:tc>
          <w:tcPr>
            <w:tcW w:type="dxa" w:w="3515"/>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Do not log letter text, raw answers, passwords, session tokens or sensitive query strings. Delete or irreversibly anonymize unneeded records.</w:t>
            </w:r>
          </w:p>
        </w:tc>
      </w:tr>
    </w:tbl>
    <w:p>
      <w:pPr>
        <w:pStyle w:val="Heading1"/>
        <w:pageBreakBefore/>
      </w:pPr>
      <w:r>
        <w:rPr>
          <w:rFonts w:ascii="Calibri" w:hAnsi="Calibri" w:eastAsia="Noto Sans CJK KR"/>
        </w:rPr>
        <w:t>6. Data Retention and Deletion (continued)</w:t>
      </w:r>
    </w:p>
    <w:tbl>
      <w:tblPr>
        <w:tblW w:type="auto" w:w="0"/>
        <w:jc w:val="center"/>
        <w:tblLayout w:type="fixed"/>
        <w:tblLook w:firstColumn="1" w:firstRow="1" w:lastColumn="0" w:lastRow="0" w:noHBand="0" w:noVBand="1" w:val="04A0"/>
      </w:tblPr>
      <w:tblGrid>
        <w:gridCol w:w="2268"/>
        <w:gridCol w:w="3969"/>
        <w:gridCol w:w="3515"/>
      </w:tblGrid>
      <w:tr>
        <w:trPr>
          <w:tblHeader/>
          <w:cantSplit/>
        </w:trPr>
        <w:tc>
          <w:tcPr>
            <w:tcW w:type="dxa" w:w="2268"/>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Data / purpose</w:t>
            </w:r>
          </w:p>
        </w:tc>
        <w:tc>
          <w:tcPr>
            <w:tcW w:type="dxa" w:w="3969"/>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Retention or trigger</w:t>
            </w:r>
          </w:p>
        </w:tc>
        <w:tc>
          <w:tcPr>
            <w:tcW w:type="dxa" w:w="3515"/>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Effect after the trigger</w:t>
            </w:r>
          </w:p>
        </w:tc>
      </w:tr>
      <w:tr>
        <w:trPr>
          <w:cantSplit/>
        </w:trPr>
        <w:tc>
          <w:tcPr>
            <w:tcW w:type="dxa" w:w="226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Support and privacy requests</w:t>
            </w:r>
          </w:p>
        </w:tc>
        <w:tc>
          <w:tcPr>
            <w:tcW w:type="dxa" w:w="3969"/>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Support: 12 months after closure. Rights requests/complaints: 24 months after closure. Retain a minimum decision/handling record; erase unnecessary identity-check copies when verification ends.</w:t>
            </w:r>
          </w:p>
        </w:tc>
        <w:tc>
          <w:tcPr>
            <w:tcW w:type="dxa" w:w="3515"/>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Restrict to handling, accountability and justified dispute management. Check jurisdiction-specific obligations and any shorter necessity limit.</w:t>
            </w:r>
          </w:p>
        </w:tc>
      </w:tr>
      <w:tr>
        <w:trPr>
          <w:cantSplit/>
        </w:trPr>
        <w:tc>
          <w:tcPr>
            <w:tcW w:type="dxa" w:w="226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Consent evidence and opt-out suppression</w:t>
            </w:r>
          </w:p>
        </w:tc>
        <w:tc>
          <w:tcPr>
            <w:tcW w:type="dxa" w:w="3969"/>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Minimum consent/version/time/choice evidence: while relied upon, then up to 3 years after withdrawal/expiry, subject to local necessity review. Minimal suppression record: while the relevant marketing program runs, with annual review.</w:t>
            </w:r>
          </w:p>
        </w:tc>
        <w:tc>
          <w:tcPr>
            <w:tcW w:type="dxa" w:w="3515"/>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No marketing reuse. When the program and usable mailing lists permanently end, delete suppression records within 30 days unless a separate documented requirement applies.</w:t>
            </w:r>
          </w:p>
        </w:tc>
      </w:tr>
      <w:tr>
        <w:trPr>
          <w:cantSplit/>
        </w:trPr>
        <w:tc>
          <w:tcPr>
            <w:tcW w:type="dxa" w:w="226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Company backups and provider-held copies</w:t>
            </w:r>
          </w:p>
        </w:tc>
        <w:tc>
          <w:tcPr>
            <w:tcW w:type="dxa" w:w="3969"/>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A deleted live item ages out of company-controlled recovery backups within 30 days of live deletion. Provider content, logs, subscriber lists and backups have separate verified periods in Schedule A.</w:t>
            </w:r>
          </w:p>
        </w:tc>
        <w:tc>
          <w:tcPr>
            <w:tcW w:type="dxa" w:w="3515"/>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Restrict backups to recovery. Reapply deletion/suppression before restoring service. Do not claim all external copies disappear within the company’s 30-day cycle.</w:t>
            </w:r>
          </w:p>
        </w:tc>
      </w:tr>
      <w:tr>
        <w:trPr>
          <w:cantSplit/>
        </w:trPr>
        <w:tc>
          <w:tcPr>
            <w:tcW w:type="dxa" w:w="226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Records subject to specific legal duties</w:t>
            </w:r>
          </w:p>
        </w:tc>
        <w:tc>
          <w:tcPr>
            <w:tcW w:type="dxa" w:w="3969"/>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Map actual administrator-access/security records and required request records to applicable duties. No payment/shipping transaction retention is added to this free campaign. Any legal hold must identify the particular data, ground, period and release trigger.</w:t>
            </w:r>
          </w:p>
        </w:tc>
        <w:tc>
          <w:tcPr>
            <w:tcW w:type="dxa" w:w="3515"/>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Keep only the required segregated record, not the entire archive. The ordinary 90-day log proposal must not override a longer applicable security-record duty.</w:t>
            </w:r>
          </w:p>
        </w:tc>
      </w:tr>
    </w:tbl>
    <w:p>
      <w:pPr>
        <w:keepNext w:val="0"/>
        <w:spacing w:after="40" w:before="0" w:line="40" w:lineRule="exact"/>
      </w:pPr>
      <w:r>
        <w:rPr>
          <w:sz w:val="4"/>
        </w:rPr>
      </w:r>
    </w:p>
    <w:p>
      <w:pPr>
        <w:pStyle w:val="Heading2"/>
        <w:keepNext/>
      </w:pPr>
      <w:r>
        <w:rPr>
          <w:rFonts w:ascii="Calibri" w:hAnsi="Calibri" w:cs="Calibri" w:eastAsia="Noto Sans CJK KR"/>
          <w:b w:val="0"/>
        </w:rPr>
        <w:t>Deletion procedure</w:t>
      </w:r>
    </w:p>
    <w:p>
      <w:r>
        <w:rPr>
          <w:rFonts w:ascii="Calibri" w:hAnsi="Calibri" w:cs="Calibri" w:eastAsia="Noto Sans CJK KR"/>
          <w:b w:val="0"/>
        </w:rPr>
        <w:t>When data is no longer needed and no applicable exception permits retention, we delete it from active systems without undue delay and arrange appropriate action by relevant processors. Electronic deletion uses methods intended to prevent ordinary recovery; unnecessary paper copies, if any, are securely destroyed. The specific backup and provider limits are stated above and in Schedule A.</w:t>
      </w:r>
    </w:p>
    <w:p>
      <w:r>
        <w:rPr>
          <w:rFonts w:ascii="Calibri" w:hAnsi="Calibri" w:cs="Calibri" w:eastAsia="Noto Sans CJK KR"/>
          <w:b w:val="0"/>
        </w:rPr>
        <w:t>If we cannot fully honor a request because of a legal obligation or another lawful exception, we explain the scope and basis where permitted and restrict further use. A file already downloaded by you or a letter already delivered to your own email inbox is not under our sole control; this does not excuse deletion of the copies we or our processors control.</w:t>
      </w:r>
    </w:p>
    <w:p>
      <w:pPr>
        <w:pStyle w:val="Heading1"/>
        <w:pageBreakBefore/>
      </w:pPr>
      <w:r>
        <w:rPr>
          <w:rFonts w:ascii="Calibri" w:hAnsi="Calibri" w:cs="Calibri" w:eastAsia="Noto Sans CJK KR"/>
          <w:b w:val="0"/>
        </w:rPr>
        <w:t>7. Rights of Users</w:t>
      </w:r>
    </w:p>
    <w:p>
      <w:pPr>
        <w:pStyle w:val="Heading2"/>
      </w:pPr>
      <w:r>
        <w:rPr>
          <w:rFonts w:ascii="Calibri" w:hAnsi="Calibri" w:cs="Calibri" w:eastAsia="Noto Sans CJK KR"/>
          <w:b w:val="0"/>
        </w:rPr>
        <w:t>7.1 How to make a request</w:t>
      </w:r>
    </w:p>
    <w:p>
      <w:pPr>
        <w:spacing w:line="259" w:lineRule="auto" w:after="80"/>
      </w:pPr>
      <w:r>
        <w:rPr>
          <w:rFonts w:ascii="Calibri" w:hAnsi="Calibri" w:eastAsia="Noto Sans CJK KR"/>
        </w:rPr>
        <w:t xml:space="preserve">Contact 최정선 (privacy contact / responsible person) by telephone at 010-6418-8905 (international: +82-10-6418-8905) or by post using Section 12. </w:t>
      </w:r>
      <w:r>
        <w:rPr>
          <w:rFonts w:ascii="Calibri" w:hAnsi="Calibri" w:eastAsia="Noto Sans CJK KR"/>
          <w:b/>
          <w:shd w:fill="FFF0B8" w:val="clear"/>
        </w:rPr>
        <w:t>[PENDING]</w:t>
      </w:r>
      <w:r>
        <w:rPr>
          <w:rFonts w:ascii="Calibri" w:hAnsi="Calibri" w:eastAsia="Noto Sans CJK KR"/>
        </w:rPr>
        <w:t xml:space="preserve"> Dedicated privacy email to be inserted before publication. No online request form is claimed in this draft. You can ask about access, correction, deletion, your choices and the processing of your information. An authorized representative may act where applicable law permits. We request only proportionate verification and do not require a new account solely to exercise rights. Requests are normally free; any legally permitted exception and reason are explained in advance.</w:t>
      </w:r>
    </w:p>
    <w:p>
      <w:pPr>
        <w:spacing w:line="259" w:lineRule="auto" w:after="80"/>
      </w:pPr>
      <w:r>
        <w:rPr>
          <w:rFonts w:ascii="Calibri" w:hAnsi="Calibri" w:cs="Calibri" w:eastAsia="Noto Sans CJK KR"/>
          <w:b w:val="0"/>
        </w:rPr>
        <w:t>We respond within the deadline applicable to the request and tell you about any permitted extension or refusal and the available review or complaint route. You do not lose a service merely because you exercise a privacy right, except where the requested change makes that particular service impossible to provide.</w:t>
      </w:r>
    </w:p>
    <w:p>
      <w:pPr>
        <w:pStyle w:val="Heading2"/>
      </w:pPr>
      <w:r>
        <w:rPr>
          <w:rFonts w:ascii="Calibri" w:hAnsi="Calibri" w:cs="Calibri" w:eastAsia="Noto Sans CJK KR"/>
          <w:b w:val="0"/>
        </w:rPr>
        <w:t>7.2 Korea</w:t>
      </w:r>
    </w:p>
    <w:p>
      <w:pPr>
        <w:spacing w:line="259" w:lineRule="auto" w:after="80"/>
      </w:pPr>
      <w:r>
        <w:rPr>
          <w:rFonts w:ascii="Calibri" w:hAnsi="Calibri" w:cs="Calibri" w:eastAsia="Noto Sans CJK KR"/>
          <w:b w:val="0"/>
        </w:rPr>
        <w:t>Subject to the Personal Information Protection Act and applicable exceptions, you may request access, correction or deletion, suspension of processing and withdrawal of consent; additional statutory rights apply where their conditions are met. Contact our privacy team in Section 12. You may also contact the Personal Information Protection Commission, the Korean privacy infringement reporting service or the Personal Information Dispute Mediation Committee. The contact routes are provided in the localized notice.</w:t>
      </w:r>
    </w:p>
    <w:p>
      <w:pPr>
        <w:pStyle w:val="Heading2"/>
      </w:pPr>
      <w:r>
        <w:rPr>
          <w:rFonts w:ascii="Calibri" w:hAnsi="Calibri" w:cs="Calibri" w:eastAsia="Noto Sans CJK KR"/>
          <w:b w:val="0"/>
        </w:rPr>
        <w:t>7.3 Japan</w:t>
      </w:r>
    </w:p>
    <w:p>
      <w:pPr>
        <w:spacing w:line="259" w:lineRule="auto" w:after="80"/>
      </w:pPr>
      <w:r>
        <w:rPr>
          <w:rFonts w:ascii="Calibri" w:hAnsi="Calibri" w:cs="Calibri" w:eastAsia="Noto Sans CJK KR"/>
          <w:b w:val="0"/>
        </w:rPr>
        <w:t>Subject to APPI requirements and exceptions, you may request notification of use purposes; disclosure of retained personal data and relevant third-party provision records; correction, addition or deletion; and cessation of use, erasure or cessation of third-party provision. We explain the reasons for a refusal or partial response as required. Our operator, representative and contact are in Sections 1 and 12. You may contact Japan’s Personal Information Protection Commission. Information about applicable overseas-recipient safeguards can be requested as described in Section 5.</w:t>
      </w:r>
    </w:p>
    <w:p>
      <w:pPr>
        <w:pStyle w:val="Heading2"/>
      </w:pPr>
      <w:r>
        <w:rPr>
          <w:rFonts w:ascii="Calibri" w:hAnsi="Calibri" w:cs="Calibri" w:eastAsia="Noto Sans CJK KR"/>
          <w:b w:val="0"/>
        </w:rPr>
        <w:t>7.4 EU/EEA</w:t>
      </w:r>
    </w:p>
    <w:p>
      <w:pPr>
        <w:spacing w:line="259" w:lineRule="auto" w:after="80"/>
      </w:pPr>
      <w:r>
        <w:rPr>
          <w:rFonts w:ascii="Calibri" w:hAnsi="Calibri" w:cs="Calibri" w:eastAsia="Noto Sans CJK KR"/>
          <w:b w:val="0"/>
        </w:rPr>
        <w:t>Where GDPR applies, you may have rights of access, rectification, erasure, restriction, portability, objection and withdrawal of consent. The applicable ground and legal conditions determine the scope. You can object at any time to direct-marketing processing. Withdrawal does not affect processing lawfully carried out before withdrawal. We ordinarily respond within one month; a lawful extension of up to two further months is explained within the initial month. You may complain to a competent supervisory authority, including in the place of your habitual residence, work or the alleged infringement. EEA representative details, when required, are in Section 1.</w:t>
      </w:r>
    </w:p>
    <w:p>
      <w:pPr>
        <w:pStyle w:val="Heading2"/>
      </w:pPr>
      <w:r>
        <w:rPr>
          <w:rFonts w:ascii="Calibri" w:hAnsi="Calibri" w:cs="Calibri" w:eastAsia="Noto Sans CJK KR"/>
          <w:b w:val="0"/>
        </w:rPr>
        <w:t>7.5 United States</w:t>
      </w:r>
    </w:p>
    <w:p>
      <w:pPr>
        <w:spacing w:line="259" w:lineRule="auto" w:after="80"/>
      </w:pPr>
      <w:r>
        <w:rPr>
          <w:rFonts w:ascii="Calibri" w:hAnsi="Calibri" w:cs="Calibri" w:eastAsia="Noto Sans CJK KR"/>
          <w:b w:val="0"/>
        </w:rPr>
        <w:t>Where an applicable state privacy law covers our processing, you may request access/confirmation, correction, deletion or a portable copy, and opt out of covered sales, advertising sharing, targeted advertising or certain consequential profiling. Additional rights may include limits on sensitive-information use, an authorized-agent request and an appeal of our decision. Applicable rights are not conditioned on waiving other rights. Where an appeal is available, reply to our decision at the privacy contact and identify it as an appeal; we explain the relevant deadlines and escalation route.</w:t>
      </w:r>
    </w:p>
    <w:p>
      <w:pPr>
        <w:spacing w:line="259" w:lineRule="auto" w:after="80"/>
      </w:pPr>
      <w:r>
        <w:rPr>
          <w:rFonts w:ascii="Calibri" w:hAnsi="Calibri" w:cs="Calibri" w:eastAsia="Noto Sans CJK KR"/>
          <w:b w:val="0"/>
        </w:rPr>
        <w:t>For covered California processing, Schedule B also describes collection categories, sources, business purposes, recipient categories and retention. We do not discriminate for exercising CCPA rights. For a covered access, correction or deletion request, the usual response period is 45 days, with any legally permitted extension notified as required. Other requests or states may have different deadlines.</w:t>
      </w:r>
    </w:p>
    <w:p>
      <w:pPr>
        <w:pStyle w:val="Heading2"/>
      </w:pPr>
      <w:r>
        <w:rPr>
          <w:rFonts w:ascii="Calibri" w:hAnsi="Calibri" w:cs="Calibri" w:eastAsia="Noto Sans CJK KR"/>
          <w:b w:val="0"/>
        </w:rPr>
        <w:t>7.6 Other locations</w:t>
      </w:r>
    </w:p>
    <w:p>
      <w:pPr>
        <w:keepLines/>
        <w:spacing w:line="259" w:lineRule="auto" w:after="80"/>
      </w:pPr>
      <w:r>
        <w:rPr>
          <w:rFonts w:ascii="Calibri" w:hAnsi="Calibri" w:cs="Calibri" w:eastAsia="Noto Sans CJK KR"/>
          <w:b w:val="0"/>
        </w:rPr>
        <w:t>Where applicable, UK users may exercise their UK GDPR rights and complain to the Information Commissioner’s Office. Australian users may request access/correction and raise a complaint with us or the Office of the Australian Information Commissioner under the applicable rules. This Policy does not limit any additional mandatory rights in another jurisdiction.</w:t>
      </w:r>
    </w:p>
    <w:p>
      <w:pPr>
        <w:pStyle w:val="Heading1"/>
        <w:pageBreakBefore/>
      </w:pPr>
      <w:r>
        <w:rPr>
          <w:rFonts w:ascii="Calibri" w:hAnsi="Calibri" w:cs="Calibri" w:eastAsia="Noto Sans CJK KR"/>
          <w:b w:val="0"/>
        </w:rPr>
        <w:t>8–12. Choices, Eligibility, Security and Contact</w:t>
      </w:r>
    </w:p>
    <w:p>
      <w:pPr>
        <w:pStyle w:val="Heading2"/>
      </w:pPr>
      <w:r>
        <w:rPr>
          <w:rFonts w:ascii="Calibri" w:hAnsi="Calibri" w:cs="Calibri" w:eastAsia="Noto Sans CJK KR"/>
          <w:b w:val="0"/>
        </w:rPr>
        <w:t>8. Withdrawal of Marketing and AI Development Consent</w:t>
      </w:r>
    </w:p>
    <w:p>
      <w:r>
        <w:rPr>
          <w:rFonts w:ascii="Calibri" w:hAnsi="Calibri" w:eastAsia="Noto Sans CJK KR"/>
        </w:rPr>
        <w:t xml:space="preserve">Use the unsubscribe link in a marketing email or contact 최정선 (privacy contact / responsible person) by telephone at 010-6418-8905 (international: +82-10-6418-8905). </w:t>
      </w:r>
      <w:r>
        <w:rPr>
          <w:rFonts w:ascii="Calibri" w:hAnsi="Calibri" w:eastAsia="Noto Sans CJK KR"/>
          <w:b/>
          <w:shd w:fill="FFF0B8" w:val="clear"/>
        </w:rPr>
        <w:t>[PENDING]</w:t>
      </w:r>
      <w:r>
        <w:rPr>
          <w:rFonts w:ascii="Calibri" w:hAnsi="Calibri" w:eastAsia="Noto Sans CJK KR"/>
        </w:rPr>
        <w:t xml:space="preserve"> Dedicated privacy email to be inserted before publication. We stop consent-based marketing and update suppression records within the applicable deadline. Essential account, security and requested-delivery messages are separate from marketing. Unsubscribing does not delete an existing letter or close the account. </w:t>
      </w:r>
      <w:r>
        <w:rPr>
          <w:rFonts w:ascii="Calibri" w:hAnsi="Calibri" w:eastAsia="Noto Sans CJK KR"/>
          <w:b/>
          <w:shd w:fill="FFF0B8" w:val="clear"/>
        </w:rPr>
        <w:t>[VERIFY]</w:t>
      </w:r>
      <w:r>
        <w:rPr>
          <w:rFonts w:ascii="Calibri" w:hAnsi="Calibri" w:eastAsia="Noto Sans CJK KR"/>
        </w:rPr>
        <w:t xml:space="preserve"> Test unsubscribe and manual-request handling before campaign launch.</w:t>
      </w:r>
    </w:p>
    <w:p>
      <w:r>
        <w:rPr>
          <w:rFonts w:ascii="Calibri" w:hAnsi="Calibri" w:cs="Calibri" w:eastAsia="Noto Sans CJK KR"/>
          <w:b w:val="0"/>
        </w:rPr>
        <w:t>AI-development participation is not enabled by this campaign version. If introduced later, it will have its own withdrawal route. We do not promise that changing a checkbox automatically removes information from every trained model; we must assess and honor applicable access, deletion and other rights for the actual processing. A statement about technical limits does not waive those rights.</w:t>
      </w:r>
    </w:p>
    <w:p>
      <w:r>
        <w:rPr>
          <w:rFonts w:ascii="Calibri" w:hAnsi="Calibri" w:cs="Calibri" w:eastAsia="Noto Sans CJK KR"/>
          <w:b w:val="0"/>
        </w:rPr>
        <w:t>Deleting a saved item, closing an account, withdrawing a publicity permission and unsubscribing from marketing are separate requests. Use the privacy contact for a request not available in your account controls. Refusing or withdrawing an optional permission does not by itself remove access to a previously generated letter.</w:t>
      </w:r>
    </w:p>
    <w:p>
      <w:pPr>
        <w:pStyle w:val="Heading2"/>
      </w:pPr>
      <w:r>
        <w:rPr>
          <w:rFonts w:ascii="Calibri" w:hAnsi="Calibri" w:cs="Calibri" w:eastAsia="Noto Sans CJK KR"/>
          <w:b w:val="0"/>
        </w:rPr>
        <w:t>9. Children’s Privacy</w:t>
      </w:r>
    </w:p>
    <w:p>
      <w:r>
        <w:rPr>
          <w:rFonts w:ascii="Calibri" w:hAnsi="Calibri" w:cs="Calibri" w:eastAsia="Noto Sans CJK KR"/>
          <w:b w:val="0"/>
        </w:rPr>
        <w:t>The covered campaign is intended for users aged 18 or older. We do not invite children to submit information directly. If we learn that data has been collected in a way that does not meet applicable child-privacy requirements, we stop the affected processing and take appropriate deletion or other legally required action. A parent or guardian may contact us about a child’s information. This eligibility statement does not replace obligations that apply to the actual audience or collection.</w:t>
      </w:r>
    </w:p>
    <w:p>
      <w:pPr>
        <w:pStyle w:val="Heading2"/>
      </w:pPr>
      <w:r>
        <w:rPr>
          <w:rFonts w:ascii="Calibri" w:hAnsi="Calibri" w:cs="Calibri" w:eastAsia="Noto Sans CJK KR"/>
          <w:b w:val="0"/>
        </w:rPr>
        <w:t>10. Data Security</w:t>
      </w:r>
    </w:p>
    <w:p>
      <w:r>
        <w:rPr>
          <w:rFonts w:ascii="Calibri" w:hAnsi="Calibri" w:eastAsia="Noto Sans CJK KR"/>
          <w:b/>
          <w:shd w:fill="E8F3F6" w:val="clear"/>
        </w:rPr>
        <w:t>[PROPOSED]</w:t>
      </w:r>
      <w:r>
        <w:rPr>
          <w:rFonts w:ascii="Calibri" w:hAnsi="Calibri" w:eastAsia="Noto Sans CJK KR"/>
        </w:rPr>
        <w:t xml:space="preserve"> Launch safeguards for company-operated local storage: individual administrator accounts and least-privilege permissions; HTTPS/TLS for service and provider traffic; protected encryption keys and encryption of stored personal information and recovery backups; no plaintext password storage; restricted server-room/device access; private-network or restricted administrator access; patching and malware protection; access logging without private content; staff confidentiality and training; documented vendor terms; and tested deletion/restore and incident-response procedures. </w:t>
      </w:r>
      <w:r>
        <w:rPr>
          <w:rFonts w:ascii="Calibri" w:hAnsi="Calibri" w:eastAsia="Noto Sans CJK KR"/>
          <w:b/>
          <w:shd w:fill="FFF0B8" w:val="clear"/>
        </w:rPr>
        <w:t>[VERIFY]</w:t>
      </w:r>
      <w:r>
        <w:rPr>
          <w:rFonts w:ascii="Calibri" w:hAnsi="Calibri" w:eastAsia="Noto Sans CJK KR"/>
        </w:rPr>
        <w:t xml:space="preserve"> These are implementation requirements, not verified controls. Replace this paragraph with the safeguards actually in place before publication. No online system can be guaranteed completely secure.</w:t>
      </w:r>
    </w:p>
    <w:p>
      <w:pPr>
        <w:pStyle w:val="Heading2"/>
      </w:pPr>
      <w:r>
        <w:rPr>
          <w:rFonts w:ascii="Calibri" w:hAnsi="Calibri" w:cs="Calibri" w:eastAsia="Noto Sans CJK KR"/>
          <w:b w:val="0"/>
        </w:rPr>
        <w:t>11. Amendments to This Policy</w:t>
      </w:r>
    </w:p>
    <w:p>
      <w:r>
        <w:rPr>
          <w:rFonts w:ascii="Calibri" w:hAnsi="Calibri" w:eastAsia="Noto Sans CJK KR"/>
          <w:b/>
          <w:shd w:fill="E8F3F6" w:val="clear"/>
        </w:rPr>
        <w:t>[PROPOSED]</w:t>
      </w:r>
      <w:r>
        <w:rPr>
          <w:rFonts w:ascii="Calibri" w:hAnsi="Calibri" w:eastAsia="Noto Sans CJK KR"/>
        </w:rPr>
        <w:t xml:space="preserve"> Publish the current policy and effective date through a clearly labelled “Privacy Policy” link in the SoulTrace and Eternal Beam campaign footers. Notify material changes through an on-site/account notice and, where needed, a necessary service email before new processing begins. Retain previous versions and a change summary on the policy page, with copies also available through the privacy contact. </w:t>
      </w:r>
      <w:r>
        <w:rPr>
          <w:rFonts w:ascii="Calibri" w:hAnsi="Calibri" w:eastAsia="Noto Sans CJK KR"/>
          <w:b/>
          <w:shd w:fill="FFF0B8" w:val="clear"/>
        </w:rPr>
        <w:t>[VERIFY]</w:t>
      </w:r>
      <w:r>
        <w:rPr>
          <w:rFonts w:ascii="Calibri" w:hAnsi="Calibri" w:eastAsia="Noto Sans CJK KR"/>
        </w:rPr>
        <w:t xml:space="preserve"> Test the final page, notice channel and version-history route; no unverified URL is asserted here. Obtain fresh consent where required; continued use alone is not consent to an unrelated marketing, training or publicity purpose.</w:t>
      </w:r>
    </w:p>
    <w:p>
      <w:pPr>
        <w:pStyle w:val="Heading2"/>
        <w:pageBreakBefore/>
      </w:pPr>
      <w:r>
        <w:rPr>
          <w:rFonts w:ascii="Calibri" w:hAnsi="Calibri" w:cs="Calibri" w:eastAsia="Noto Sans CJK KR"/>
          <w:b w:val="0"/>
        </w:rPr>
        <w:t>12. Contact Information</w:t>
      </w:r>
    </w:p>
    <w:tbl>
      <w:tblPr>
        <w:tblW w:type="auto" w:w="0"/>
        <w:jc w:val="center"/>
        <w:tblLayout w:type="fixed"/>
        <w:tblLook w:firstColumn="1" w:firstRow="1" w:lastColumn="0" w:lastRow="0" w:noHBand="0" w:noVBand="1" w:val="04A0"/>
      </w:tblPr>
      <w:tblGrid>
        <w:gridCol w:w="3005"/>
        <w:gridCol w:w="6746"/>
      </w:tblGrid>
      <w:tr>
        <w:trPr>
          <w:tblHeader/>
          <w:cantSplit/>
        </w:trPr>
        <w:tc>
          <w:tcPr>
            <w:tcW w:type="dxa" w:w="3005"/>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Contact</w:t>
            </w:r>
          </w:p>
        </w:tc>
        <w:tc>
          <w:tcPr>
            <w:tcW w:type="dxa" w:w="6746"/>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Details</w:t>
            </w:r>
          </w:p>
        </w:tc>
      </w:tr>
      <w:tr>
        <w:trPr>
          <w:cantSplit/>
        </w:trPr>
        <w:tc>
          <w:tcPr>
            <w:tcW w:type="dxa" w:w="3005"/>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Legal operator / corporate representative</w:t>
            </w:r>
          </w:p>
        </w:tc>
        <w:tc>
          <w:tcPr>
            <w:tcW w:type="dxa" w:w="6746"/>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주식회사 토일렛 아카이브 (English name supplied by the operator: tva ltd)</w:t>
              <w:br/>
              <w:t>Corporate representative: 강효찬</w:t>
            </w:r>
          </w:p>
        </w:tc>
      </w:tr>
      <w:tr>
        <w:trPr>
          <w:cantSplit/>
        </w:trPr>
        <w:tc>
          <w:tcPr>
            <w:tcW w:type="dxa" w:w="3005"/>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Privacy contact / responsible person</w:t>
            </w:r>
          </w:p>
        </w:tc>
        <w:tc>
          <w:tcPr>
            <w:tcW w:type="dxa" w:w="6746"/>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최정선 (privacy contact / responsible person)</w:t>
            </w:r>
          </w:p>
        </w:tc>
      </w:tr>
      <w:tr>
        <w:trPr>
          <w:cantSplit/>
        </w:trPr>
        <w:tc>
          <w:tcPr>
            <w:tcW w:type="dxa" w:w="3005"/>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Email / telephone</w:t>
            </w:r>
          </w:p>
        </w:tc>
        <w:tc>
          <w:tcPr>
            <w:tcW w:type="dxa" w:w="6746"/>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[PENDING]</w:t>
            </w:r>
            <w:r>
              <w:rPr>
                <w:rFonts w:ascii="Calibri" w:hAnsi="Calibri" w:eastAsia="Noto Sans CJK KR"/>
                <w:sz w:val="18"/>
              </w:rPr>
              <w:t xml:space="preserve"> Dedicated privacy email to be inserted before publication.</w:t>
              <w:br/>
              <w:t>Telephone: 010-6418-8905 (international: +82-10-6418-8905)</w:t>
            </w:r>
          </w:p>
        </w:tc>
      </w:tr>
      <w:tr>
        <w:trPr>
          <w:cantSplit/>
        </w:trPr>
        <w:tc>
          <w:tcPr>
            <w:tcW w:type="dxa" w:w="3005"/>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Postal address</w:t>
            </w:r>
          </w:p>
        </w:tc>
        <w:tc>
          <w:tcPr>
            <w:tcW w:type="dxa" w:w="6746"/>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 xml:space="preserve">영등포로 3길 3 씨타워 804~806호, 대한민국 (Republic of Korea). </w:t>
            </w:r>
            <w:r>
              <w:rPr>
                <w:rFonts w:ascii="Calibri" w:hAnsi="Calibri" w:eastAsia="Noto Sans CJK KR"/>
                <w:b/>
                <w:sz w:val="18"/>
                <w:shd w:fill="FFF0B8" w:val="clear"/>
              </w:rPr>
              <w:t>[VERIFY]</w:t>
            </w:r>
            <w:r>
              <w:rPr>
                <w:rFonts w:ascii="Calibri" w:hAnsi="Calibri" w:eastAsia="Noto Sans CJK KR"/>
                <w:sz w:val="18"/>
              </w:rPr>
              <w:t xml:space="preserve"> Complete the city/district and postal code; no unverified English address is supplied.</w:t>
            </w:r>
          </w:p>
        </w:tc>
      </w:tr>
      <w:tr>
        <w:trPr>
          <w:cantSplit/>
        </w:trPr>
        <w:tc>
          <w:tcPr>
            <w:tcW w:type="dxa" w:w="3005"/>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Request and complaint route</w:t>
            </w:r>
          </w:p>
        </w:tc>
        <w:tc>
          <w:tcPr>
            <w:tcW w:type="dxa" w:w="6746"/>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 xml:space="preserve">Direct requests: telephone or post to the privacy contact above. </w:t>
            </w:r>
            <w:r>
              <w:rPr>
                <w:rFonts w:ascii="Calibri" w:hAnsi="Calibri" w:eastAsia="Noto Sans CJK KR"/>
                <w:b/>
                <w:sz w:val="18"/>
                <w:shd w:fill="FFF0B8" w:val="clear"/>
              </w:rPr>
              <w:t>[VERIFY]</w:t>
            </w:r>
            <w:r>
              <w:rPr>
                <w:rFonts w:ascii="Calibri" w:hAnsi="Calibri" w:eastAsia="Noto Sans CJK KR"/>
                <w:sz w:val="18"/>
              </w:rPr>
              <w:t xml:space="preserve"> Confirm a monitored written/electronic request route before international launch. Korean external routes: PIPC; privacy infringement reporting service (118); Personal Information Dispute Mediation Committee (1833-6972). Other local complaint routes are in Section 7. [R1]</w:t>
            </w:r>
          </w:p>
        </w:tc>
      </w:tr>
      <w:tr>
        <w:trPr>
          <w:cantSplit/>
        </w:trPr>
        <w:tc>
          <w:tcPr>
            <w:tcW w:type="dxa" w:w="3005"/>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8"/>
              </w:rPr>
              <w:t>EEA / other appointed representative</w:t>
            </w:r>
          </w:p>
        </w:tc>
        <w:tc>
          <w:tcPr>
            <w:tcW w:type="dxa" w:w="6746"/>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Whether an EEA representative is required remains unresolved. Add the appointed representative’s name, address and contact where required; do not treat the Korean privacy contact as an EEA appointment.</w:t>
            </w:r>
          </w:p>
        </w:tc>
      </w:tr>
    </w:tbl>
    <w:p>
      <w:pPr>
        <w:keepNext w:val="0"/>
        <w:spacing w:after="40" w:before="0" w:line="40" w:lineRule="exact"/>
      </w:pPr>
      <w:r>
        <w:rPr>
          <w:sz w:val="4"/>
        </w:rPr>
      </w:r>
    </w:p>
    <w:p>
      <w:pPr>
        <w:pStyle w:val="Heading1"/>
        <w:pageBreakBefore/>
      </w:pPr>
      <w:r>
        <w:rPr>
          <w:rFonts w:ascii="Calibri" w:hAnsi="Calibri" w:cs="Calibri" w:eastAsia="Noto Sans CJK KR"/>
          <w:b w:val="0"/>
        </w:rPr>
        <w:t>Schedule A. Providers and Overseas Processing</w:t>
      </w:r>
    </w:p>
    <w:p>
      <w:pPr>
        <w:pStyle w:val="Note"/>
        <w:shd w:fill="EAF2F4"/>
      </w:pPr>
      <w:r>
        <w:rPr>
          <w:rFonts w:ascii="Calibri" w:hAnsi="Calibri" w:eastAsia="Noto Sans CJK KR"/>
        </w:rPr>
        <w:t xml:space="preserve">DRAFT PROVIDER REGISTER. </w:t>
      </w:r>
      <w:r>
        <w:rPr>
          <w:rFonts w:ascii="Calibri" w:hAnsi="Calibri" w:eastAsia="Noto Sans CJK KR"/>
          <w:b/>
          <w:shd w:fill="E8F3F6" w:val="clear"/>
        </w:rPr>
        <w:t>[USER PLAN]</w:t>
      </w:r>
      <w:r>
        <w:rPr>
          <w:rFonts w:ascii="Calibri" w:hAnsi="Calibri" w:eastAsia="Noto Sans CJK KR"/>
        </w:rPr>
        <w:t xml:space="preserve"> Local primary storage is supplied by the user. </w:t>
      </w:r>
      <w:r>
        <w:rPr>
          <w:rFonts w:ascii="Calibri" w:hAnsi="Calibri" w:eastAsia="Noto Sans CJK KR"/>
          <w:b/>
          <w:shd w:fill="E8F3F6" w:val="clear"/>
        </w:rPr>
        <w:t>[PRIOR SETUP]</w:t>
      </w:r>
      <w:r>
        <w:rPr>
          <w:rFonts w:ascii="Calibri" w:hAnsi="Calibri" w:eastAsia="Noto Sans CJK KR"/>
        </w:rPr>
        <w:t xml:space="preserve"> Resend and Supabase appeared in earlier project work; continued use is not verified. </w:t>
      </w:r>
      <w:r>
        <w:rPr>
          <w:rFonts w:ascii="Calibri" w:hAnsi="Calibri" w:eastAsia="Noto Sans CJK KR"/>
          <w:b/>
          <w:shd w:fill="E8F3F6" w:val="clear"/>
        </w:rPr>
        <w:t>[PUBLIC SOURCE]</w:t>
      </w:r>
      <w:r>
        <w:rPr>
          <w:rFonts w:ascii="Calibri" w:hAnsi="Calibri" w:eastAsia="Noto Sans CJK KR"/>
        </w:rPr>
        <w:t xml:space="preserve"> Public provider terms are cited below, not proof of a signed account contract or a configured deployment. </w:t>
      </w:r>
      <w:r>
        <w:rPr>
          <w:rFonts w:ascii="Calibri" w:hAnsi="Calibri" w:eastAsia="Noto Sans CJK KR"/>
          <w:b/>
          <w:shd w:fill="FFF0B8" w:val="clear"/>
        </w:rPr>
        <w:t>[VERIFY]</w:t>
      </w:r>
      <w:r>
        <w:rPr>
          <w:rFonts w:ascii="Calibri" w:hAnsi="Calibri" w:eastAsia="Noto Sans CJK KR"/>
        </w:rPr>
        <w:t xml:space="preserve"> Complete each unresolved route before publication.</w:t>
      </w:r>
    </w:p>
    <w:tbl>
      <w:tblPr>
        <w:tblW w:type="auto" w:w="0"/>
        <w:jc w:val="center"/>
        <w:tblLayout w:type="fixed"/>
        <w:tblLook w:firstColumn="1" w:firstRow="1" w:lastColumn="0" w:lastRow="0" w:noHBand="0" w:noVBand="1" w:val="04A0"/>
      </w:tblPr>
      <w:tblGrid>
        <w:gridCol w:w="1814"/>
        <w:gridCol w:w="2438"/>
        <w:gridCol w:w="2891"/>
        <w:gridCol w:w="2608"/>
      </w:tblGrid>
      <w:tr>
        <w:trPr>
          <w:tblHeader/>
          <w:cantSplit/>
        </w:trPr>
        <w:tc>
          <w:tcPr>
            <w:tcW w:type="dxa" w:w="1814"/>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Service role</w:t>
            </w:r>
          </w:p>
        </w:tc>
        <w:tc>
          <w:tcPr>
            <w:tcW w:type="dxa" w:w="2438"/>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Recipient and role</w:t>
            </w:r>
          </w:p>
        </w:tc>
        <w:tc>
          <w:tcPr>
            <w:tcW w:type="dxa" w:w="2891"/>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Data actually sent / purpose</w:t>
            </w:r>
          </w:p>
        </w:tc>
        <w:tc>
          <w:tcPr>
            <w:tcW w:type="dxa" w:w="2608"/>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Countries and retention</w:t>
            </w:r>
          </w:p>
        </w:tc>
      </w:tr>
      <w:tr>
        <w:trPr>
          <w:cantSplit/>
        </w:trPr>
        <w:tc>
          <w:tcPr>
            <w:tcW w:type="dxa" w:w="181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AI letter / stamp generation</w:t>
            </w:r>
          </w:p>
        </w:tc>
        <w:tc>
          <w:tcPr>
            <w:tcW w:type="dxa" w:w="243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The actual free-letter/stamp AI recipient and privacy contact are not established by the source or current access. Do not reuse an Eternal Beam video/identity provider name without checking this route.</w:t>
            </w:r>
          </w:p>
        </w:tc>
        <w:tc>
          <w:tcPr>
            <w:tcW w:type="dxa" w:w="2891"/>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Send only pet details, selected memories, intended recipient, language and tone needed for the letter. Send a sanitized optional photo only if the requested stamp needs it. Use a job ID; omit email/contact identifiers where unnecessary.</w:t>
            </w:r>
          </w:p>
        </w:tc>
        <w:tc>
          <w:tcPr>
            <w:tcW w:type="dxa" w:w="260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Local versus external inference, legal entity, all countries, fallback routes, content/log retention, human review and training settings. Local storage alone does not answer these questions.</w:t>
            </w:r>
          </w:p>
        </w:tc>
      </w:tr>
      <w:tr>
        <w:trPr>
          <w:cantSplit/>
        </w:trPr>
        <w:tc>
          <w:tcPr>
            <w:tcW w:type="dxa" w:w="1814"/>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Primary database / archive / file storage</w:t>
            </w:r>
          </w:p>
        </w:tc>
        <w:tc>
          <w:tcPr>
            <w:tcW w:type="dxa" w:w="2438"/>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[USER PLAN]</w:t>
            </w:r>
            <w:r>
              <w:rPr>
                <w:rFonts w:ascii="Calibri" w:hAnsi="Calibri" w:eastAsia="Noto Sans CJK KR"/>
                <w:sz w:val="18"/>
              </w:rPr>
              <w:t xml:space="preserve"> 주식회사 토일렛 아카이브 (tva ltd), as controller operating its own local server. Privacy contact: 최정선, +82-10-6418-8905. This is not an external processor appointment.</w:t>
            </w:r>
          </w:p>
        </w:tc>
        <w:tc>
          <w:tcPr>
            <w:tcW w:type="dxa" w:w="2891"/>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Account/archive identifiers; email; disclosed pet/questionnaire inputs; saved photo, letter and stamp; consent and essential operational records. Separate inputs from finished archive; apply Section 6.</w:t>
            </w:r>
          </w:p>
        </w:tc>
        <w:tc>
          <w:tcPr>
            <w:tcW w:type="dxa" w:w="2608"/>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Republic of Korea for company primary storage/backups. </w:t>
            </w:r>
            <w:r>
              <w:rPr>
                <w:rFonts w:ascii="Calibri" w:hAnsi="Calibri" w:eastAsia="Noto Sans CJK KR"/>
                <w:b/>
                <w:sz w:val="18"/>
                <w:shd w:fill="FFF0B8" w:val="clear"/>
              </w:rPr>
              <w:t>[VERIFY]</w:t>
            </w:r>
            <w:r>
              <w:rPr>
                <w:rFonts w:ascii="Calibri" w:hAnsi="Calibri" w:eastAsia="Noto Sans CJK KR"/>
                <w:sz w:val="18"/>
              </w:rPr>
              <w:t xml:space="preserve"> Physical countries, remote administration and any old cloud copies. User plan is not confirmation of completed migration.</w:t>
            </w:r>
          </w:p>
        </w:tc>
      </w:tr>
      <w:tr>
        <w:trPr>
          <w:cantSplit/>
        </w:trPr>
        <w:tc>
          <w:tcPr>
            <w:tcW w:type="dxa" w:w="181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Account authentication</w:t>
            </w:r>
          </w:p>
        </w:tc>
        <w:tc>
          <w:tcPr>
            <w:tcW w:type="dxa" w:w="243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[PRIOR SETUP]</w:t>
            </w:r>
            <w:r>
              <w:rPr>
                <w:rFonts w:ascii="Calibri" w:hAnsi="Calibri" w:eastAsia="Noto Sans CJK KR"/>
                <w:sz w:val="18"/>
              </w:rPr>
              <w:t xml:space="preserve"> Supabase authentication. </w:t>
            </w:r>
            <w:r>
              <w:rPr>
                <w:rFonts w:ascii="Calibri" w:hAnsi="Calibri" w:eastAsia="Noto Sans CJK KR"/>
                <w:b/>
                <w:sz w:val="18"/>
                <w:shd w:fill="E8F3F6" w:val="clear"/>
              </w:rPr>
              <w:t>[PUBLIC SOURCE]</w:t>
            </w:r>
            <w:r>
              <w:rPr>
                <w:rFonts w:ascii="Calibri" w:hAnsi="Calibri" w:eastAsia="Noto Sans CJK KR"/>
                <w:sz w:val="18"/>
              </w:rPr>
              <w:t xml:space="preserve"> Public managed-service DPA names Supabase Pte. Ltd. [R3] </w:t>
            </w:r>
            <w:r>
              <w:rPr>
                <w:rFonts w:ascii="Calibri" w:hAnsi="Calibri" w:eastAsia="Noto Sans CJK KR"/>
                <w:b/>
                <w:sz w:val="18"/>
                <w:shd w:fill="FFF0B8" w:val="clear"/>
              </w:rPr>
              <w:t>[VERIFY]</w:t>
            </w:r>
            <w:r>
              <w:rPr>
                <w:rFonts w:ascii="Calibri" w:hAnsi="Calibri" w:eastAsia="Noto Sans CJK KR"/>
                <w:sz w:val="18"/>
              </w:rPr>
              <w:t xml:space="preserve"> Current hosted/self-hosted mode and actual contract/contact.</w:t>
            </w:r>
          </w:p>
        </w:tc>
        <w:tc>
          <w:tcPr>
            <w:tcW w:type="dxa" w:w="2891"/>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Email, account ID, credential verifier or verification tokens, session data and limited login/security events needed for access. No letter/photo upload to the auth service merely for authentication.</w:t>
            </w:r>
          </w:p>
        </w:tc>
        <w:tc>
          <w:tcPr>
            <w:tcW w:type="dxa" w:w="260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A hosted project has its own region, access countries and retention. Self-hosting must be verified separately. Account/session data: feature lifecycle; ordinary company auth logs: proposed 90 days. [R3–R4]</w:t>
            </w:r>
          </w:p>
        </w:tc>
      </w:tr>
      <w:tr>
        <w:trPr>
          <w:cantSplit/>
        </w:trPr>
        <w:tc>
          <w:tcPr>
            <w:tcW w:type="dxa" w:w="1814"/>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Email delivery</w:t>
            </w:r>
          </w:p>
        </w:tc>
        <w:tc>
          <w:tcPr>
            <w:tcW w:type="dxa" w:w="2438"/>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[PRIOR SETUP]</w:t>
            </w:r>
            <w:r>
              <w:rPr>
                <w:rFonts w:ascii="Calibri" w:hAnsi="Calibri" w:eastAsia="Noto Sans CJK KR"/>
                <w:sz w:val="18"/>
              </w:rPr>
              <w:t xml:space="preserve"> Resend. </w:t>
            </w:r>
            <w:r>
              <w:rPr>
                <w:rFonts w:ascii="Calibri" w:hAnsi="Calibri" w:eastAsia="Noto Sans CJK KR"/>
                <w:b/>
                <w:sz w:val="18"/>
                <w:shd w:fill="E8F3F6" w:val="clear"/>
              </w:rPr>
              <w:t>[PUBLIC SOURCE]</w:t>
            </w:r>
            <w:r>
              <w:rPr>
                <w:rFonts w:ascii="Calibri" w:hAnsi="Calibri" w:eastAsia="Noto Sans CJK KR"/>
                <w:sz w:val="18"/>
              </w:rPr>
              <w:t xml:space="preserve"> Plus Five Five, Inc.; privacy@resend.com. Processor for customer message data; independent controller for certain account/usage data. [R2]</w:t>
            </w:r>
          </w:p>
        </w:tc>
        <w:tc>
          <w:tcPr>
            <w:tcW w:type="dxa" w:w="2891"/>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Email address, message type, content or access link, message ID and delivery/bounce/error status. Prefer an authenticated letter-access link over full private content. Keep service and marketing messages separate.</w:t>
            </w:r>
          </w:p>
        </w:tc>
        <w:tc>
          <w:tcPr>
            <w:tcW w:type="dxa" w:w="2608"/>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[PUBLIC SOURCE]</w:t>
            </w:r>
            <w:r>
              <w:rPr>
                <w:rFonts w:ascii="Calibri" w:hAnsi="Calibri" w:eastAsia="Noto Sans CJK KR"/>
                <w:sz w:val="18"/>
              </w:rPr>
              <w:t xml:space="preserve"> DPA: principal processing in the US; customer data deleted within 90 days after provider-account termination. </w:t>
            </w:r>
            <w:r>
              <w:rPr>
                <w:rFonts w:ascii="Calibri" w:hAnsi="Calibri" w:eastAsia="Noto Sans CJK KR"/>
                <w:b/>
                <w:sz w:val="18"/>
                <w:shd w:fill="FFF0B8" w:val="clear"/>
              </w:rPr>
              <w:t>[VERIFY]</w:t>
            </w:r>
            <w:r>
              <w:rPr>
                <w:rFonts w:ascii="Calibri" w:hAnsi="Calibri" w:eastAsia="Noto Sans CJK KR"/>
                <w:sz w:val="18"/>
              </w:rPr>
              <w:t xml:space="preserve"> Active-account message/log/list periods, deletion requests, configured region and relevant subprocessors. [R2]</w:t>
            </w:r>
          </w:p>
        </w:tc>
      </w:tr>
      <w:tr>
        <w:trPr>
          <w:cantSplit/>
        </w:trPr>
        <w:tc>
          <w:tcPr>
            <w:tcW w:type="dxa" w:w="181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Other hosting / CDN / monitoring / recipients</w:t>
            </w:r>
          </w:p>
        </w:tc>
        <w:tc>
          <w:tcPr>
            <w:tcW w:type="dxa" w:w="243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No other active processor has been established in this review; this is not proof that none exists. Audit web hosting, CDN/reverse proxy, monitoring, backups, remote support and fallback providers.</w:t>
            </w:r>
          </w:p>
        </w:tc>
        <w:tc>
          <w:tcPr>
            <w:tcW w:type="dxa" w:w="2891"/>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Add only actual recipients and required fields. Referral hospitals/funeral partners do not receive private answers, letters or photos just because they supplied a QR code.</w:t>
            </w:r>
          </w:p>
        </w:tc>
        <w:tc>
          <w:tcPr>
            <w:tcW w:type="dxa" w:w="260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Add actual countries, roles and retention. Paid-video, payment, shipping, NFC/device and Kickstarter fulfilment routes remain outside this campaign document.</w:t>
            </w:r>
          </w:p>
        </w:tc>
      </w:tr>
    </w:tbl>
    <w:p>
      <w:pPr>
        <w:keepNext w:val="0"/>
        <w:spacing w:after="40" w:before="0" w:line="40" w:lineRule="exact"/>
      </w:pPr>
      <w:r>
        <w:rPr>
          <w:sz w:val="4"/>
        </w:rPr>
      </w:r>
    </w:p>
    <w:p>
      <w:pPr>
        <w:pStyle w:val="Heading2"/>
        <w:pageBreakBefore/>
      </w:pPr>
      <w:r>
        <w:rPr>
          <w:rFonts w:ascii="Calibri" w:hAnsi="Calibri" w:eastAsia="Noto Sans CJK KR"/>
        </w:rPr>
        <w:t>Transfer record — route-specific drafting and unresolved facts</w:t>
      </w:r>
    </w:p>
    <w:tbl>
      <w:tblPr>
        <w:tblW w:type="auto" w:w="0"/>
        <w:jc w:val="center"/>
        <w:tblLayout w:type="fixed"/>
        <w:tblLook w:firstColumn="1" w:firstRow="1" w:lastColumn="0" w:lastRow="0" w:noHBand="0" w:noVBand="1" w:val="04A0"/>
      </w:tblPr>
      <w:tblGrid>
        <w:gridCol w:w="2948"/>
        <w:gridCol w:w="6803"/>
      </w:tblGrid>
      <w:tr>
        <w:trPr>
          <w:tblHeader/>
          <w:cantSplit/>
        </w:trPr>
        <w:tc>
          <w:tcPr>
            <w:tcW w:type="dxa" w:w="2948"/>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Required detail</w:t>
            </w:r>
          </w:p>
        </w:tc>
        <w:tc>
          <w:tcPr>
            <w:tcW w:type="dxa" w:w="6803"/>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Published information</w:t>
            </w:r>
          </w:p>
        </w:tc>
      </w:tr>
      <w:tr>
        <w:trPr>
          <w:cantSplit/>
        </w:trPr>
        <w:tc>
          <w:tcPr>
            <w:tcW w:type="dxa" w:w="294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Recipient / contact</w:t>
            </w:r>
          </w:p>
        </w:tc>
        <w:tc>
          <w:tcPr>
            <w:tcW w:type="dxa" w:w="6803"/>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Email: Plus Five Five, Inc. (Resend), privacy@resend.com, historically selected; current use/contract to verify. Authentication: Supabase Pte. Ltd. only if the managed service remains in use; contract privacy contact to verify. AI letter/stamp recipient: not yet verified. Company-operated local storage is handled by the controller, not a third-party appointment. [R2–R4]</w:t>
            </w:r>
          </w:p>
        </w:tc>
      </w:tr>
      <w:tr>
        <w:trPr>
          <w:cantSplit/>
        </w:trPr>
        <w:tc>
          <w:tcPr>
            <w:tcW w:type="dxa" w:w="294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Data, purpose and role</w:t>
            </w:r>
          </w:p>
        </w:tc>
        <w:tc>
          <w:tcPr>
            <w:tcW w:type="dxa" w:w="6803"/>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Email route: the email/template or result link and delivery metadata for requested service mail or separately opted-in marketing. Auth route: email, account/session identifiers and necessary login/security information. AI route: only the generation inputs listed in Schedule A. Final payloads and any additional controller roles must be verified; archive content is not automatically shared across routes.</w:t>
            </w:r>
          </w:p>
        </w:tc>
      </w:tr>
      <w:tr>
        <w:trPr>
          <w:cantSplit/>
        </w:trPr>
        <w:tc>
          <w:tcPr>
            <w:tcW w:type="dxa" w:w="294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Countries, timing and method</w:t>
            </w:r>
          </w:p>
        </w:tc>
        <w:tc>
          <w:tcPr>
            <w:tcW w:type="dxa" w:w="6803"/>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Email route: API/SMTP at sending time, with resulting delivery records; Resend public DPA states US principal processing. Auth route: at signup/sign-in/session refresh and security events; project region and support/backup countries unverified. AI route: at requested generation; endpoint/countries unverified. Transport encryption is a proposed launch requirement. [R2–R3]</w:t>
            </w:r>
          </w:p>
        </w:tc>
      </w:tr>
      <w:tr>
        <w:trPr>
          <w:cantSplit/>
        </w:trPr>
        <w:tc>
          <w:tcPr>
            <w:tcW w:type="dxa" w:w="294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Retention, deletion, access and training</w:t>
            </w:r>
          </w:p>
        </w:tc>
        <w:tc>
          <w:tcPr>
            <w:tcW w:type="dxa" w:w="6803"/>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Company retention targets are in Section 6. Resend public DPA describes deletion within 90 days after termination; this is not an ordinary per-message lifetime. Vendor message, log, backup and list periods and individual deletion paths remain to verify. For AI, confirm all content retention, authorized human review and no-general-training settings before making a provider-wide promise. [R2]</w:t>
            </w:r>
          </w:p>
        </w:tc>
      </w:tr>
      <w:tr>
        <w:trPr>
          <w:cantSplit/>
        </w:trPr>
        <w:tc>
          <w:tcPr>
            <w:tcW w:type="dxa" w:w="294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Actual transfer mechanism</w:t>
            </w:r>
          </w:p>
        </w:tc>
        <w:tc>
          <w:tcPr>
            <w:tcW w:type="dxa" w:w="6803"/>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Record the applicable Korean permitted route and required notice/consent; the actual APPI route for Japan; and, where GDPR Chapter V applies, the applicable transfer safeguard and assessment. Provider public DPA/SCC availability is not proof that the company has completed these steps. Do not select a blanket consent or SCC explanation merely because storage is local.</w:t>
            </w:r>
          </w:p>
        </w:tc>
      </w:tr>
      <w:tr>
        <w:trPr>
          <w:cantSplit/>
        </w:trPr>
        <w:tc>
          <w:tcPr>
            <w:tcW w:type="dxa" w:w="294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Japanese foreign-recipient information</w:t>
            </w:r>
          </w:p>
        </w:tc>
        <w:tc>
          <w:tcPr>
            <w:tcW w:type="dxa" w:w="6803"/>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Before the relevant route is used, identify the actual recipient/country and the applicable Japanese route. Where relying on informed consent, prepare required foreign-system and recipient-measure information. Where relying on equivalent measures, document and maintain those arrangements and an information-request route.</w:t>
            </w:r>
          </w:p>
        </w:tc>
      </w:tr>
      <w:tr>
        <w:trPr>
          <w:cantSplit/>
        </w:trPr>
        <w:tc>
          <w:tcPr>
            <w:tcW w:type="dxa" w:w="294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Choice and effect</w:t>
            </w:r>
          </w:p>
        </w:tc>
        <w:tc>
          <w:tcPr>
            <w:tcW w:type="dxa" w:w="6803"/>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Explain any required transfer choice before submission. Declining a necessary external AI route can prevent that generation; declining the required email/auth route can prevent delivery/access when no supported alternative exists. Optional marketing refusal affects marketing only. These are drafting effects to align with the actual product; no local-only alternative is promised.</w:t>
            </w:r>
          </w:p>
        </w:tc>
      </w:tr>
      <w:tr>
        <w:trPr>
          <w:cantSplit/>
        </w:trPr>
        <w:tc>
          <w:tcPr>
            <w:tcW w:type="dxa" w:w="294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Safeguard information and publication gate</w:t>
            </w:r>
          </w:p>
        </w:tc>
        <w:tc>
          <w:tcPr>
            <w:tcW w:type="dxa" w:w="6803"/>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 xml:space="preserve">Contact 최정선 at +82-10-6418-8905; dedicated company privacy email is pending. Supply relevant safeguard information/copies where required, subject to lawful redactions. </w:t>
            </w:r>
            <w:r>
              <w:rPr>
                <w:rFonts w:ascii="Calibri" w:hAnsi="Calibri" w:eastAsia="Noto Sans CJK KR"/>
                <w:b/>
                <w:sz w:val="18"/>
                <w:shd w:fill="FFF0B8" w:val="clear"/>
              </w:rPr>
              <w:t>[VERIFY]</w:t>
            </w:r>
            <w:r>
              <w:rPr>
                <w:rFonts w:ascii="Calibri" w:hAnsi="Calibri" w:eastAsia="Noto Sans CJK KR"/>
                <w:sz w:val="18"/>
              </w:rPr>
              <w:t xml:space="preserve"> No unresolved recipient/country/retention/ground entry should remain in a published transfer register. Do not declare “no overseas transfer” while any external route is unresolved.</w:t>
            </w:r>
          </w:p>
        </w:tc>
      </w:tr>
    </w:tbl>
    <w:p>
      <w:pPr>
        <w:keepNext w:val="0"/>
        <w:spacing w:after="40" w:before="0" w:line="40" w:lineRule="exact"/>
      </w:pPr>
      <w:r>
        <w:rPr>
          <w:sz w:val="4"/>
        </w:rPr>
      </w:r>
    </w:p>
    <w:p>
      <w:pPr>
        <w:pStyle w:val="Small"/>
      </w:pPr>
      <w:r>
        <w:rPr>
          <w:rFonts w:ascii="Calibri" w:hAnsi="Calibri" w:eastAsia="Noto Sans CJK KR"/>
          <w:b/>
          <w:shd w:fill="FFF0B8" w:val="clear"/>
        </w:rPr>
        <w:t>[VERIFY]</w:t>
      </w:r>
      <w:r>
        <w:rPr>
          <w:rFonts w:ascii="Calibri" w:hAnsi="Calibri" w:eastAsia="Noto Sans CJK KR"/>
        </w:rPr>
        <w:t xml:space="preserve"> Actual payloads, provider contracts/settings and national transfer requirements must be checked together. This draft does not approve new providers or submit customer data to them. A general claim that all vendors never reuse data may be published only after every active and fallback route supports it.</w:t>
      </w:r>
    </w:p>
    <w:p>
      <w:pPr>
        <w:pStyle w:val="Heading1"/>
        <w:pageBreakBefore/>
      </w:pPr>
      <w:r>
        <w:rPr>
          <w:rFonts w:ascii="Calibri" w:hAnsi="Calibri" w:cs="Calibri" w:eastAsia="Noto Sans CJK KR"/>
          <w:b w:val="0"/>
        </w:rPr>
        <w:t>Schedule B. Technical Data, Cookies and U.S. Disclosures</w:t>
      </w:r>
    </w:p>
    <w:p>
      <w:pPr>
        <w:pStyle w:val="Heading2"/>
      </w:pPr>
      <w:r>
        <w:rPr>
          <w:rFonts w:ascii="Calibri" w:hAnsi="Calibri" w:eastAsia="Noto Sans CJK KR"/>
        </w:rPr>
        <w:t>B1. Proposed automatic-collection register — deployment audit pending</w:t>
      </w:r>
    </w:p>
    <w:tbl>
      <w:tblPr>
        <w:tblW w:type="auto" w:w="0"/>
        <w:jc w:val="center"/>
        <w:tblLayout w:type="fixed"/>
        <w:tblLook w:firstColumn="1" w:firstRow="1" w:lastColumn="0" w:lastRow="0" w:noHBand="0" w:noVBand="1" w:val="04A0"/>
      </w:tblPr>
      <w:tblGrid>
        <w:gridCol w:w="2721"/>
        <w:gridCol w:w="7030"/>
      </w:tblGrid>
      <w:tr>
        <w:trPr>
          <w:tblHeader/>
          <w:cantSplit/>
        </w:trPr>
        <w:tc>
          <w:tcPr>
            <w:tcW w:type="dxa" w:w="2721"/>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Record</w:t>
            </w:r>
          </w:p>
        </w:tc>
        <w:tc>
          <w:tcPr>
            <w:tcW w:type="dxa" w:w="7030"/>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8"/>
              </w:rPr>
              <w:t>Fields, purpose, recipient and retention</w:t>
            </w:r>
          </w:p>
        </w:tc>
      </w:tr>
      <w:tr>
        <w:trPr>
          <w:cantSplit/>
        </w:trPr>
        <w:tc>
          <w:tcPr>
            <w:tcW w:type="dxa" w:w="2721"/>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Access / security records</w:t>
            </w:r>
          </w:p>
        </w:tc>
        <w:tc>
          <w:tcPr>
            <w:tcW w:type="dxa" w:w="7030"/>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IP address, UTC event time, sanitized route, response status, browser family and internal account ID only where necessary for security/account troubleshooting; controller’s local system and any actually disclosed gateway processor. Ordinary logs: 90 days from event. Exclude request/letter bodies, passwords, bearer tokens and sensitive query strings. </w:t>
            </w:r>
            <w:r>
              <w:rPr>
                <w:rFonts w:ascii="Calibri" w:hAnsi="Calibri" w:eastAsia="Noto Sans CJK KR"/>
                <w:b/>
                <w:sz w:val="18"/>
                <w:shd w:fill="FFF0B8" w:val="clear"/>
              </w:rPr>
              <w:t>[VERIFY]</w:t>
            </w:r>
            <w:r>
              <w:rPr>
                <w:rFonts w:ascii="Calibri" w:hAnsi="Calibri" w:eastAsia="Noto Sans CJK KR"/>
                <w:sz w:val="18"/>
              </w:rPr>
              <w:t xml:space="preserve"> Exact live fields and administrator-access record duties.</w:t>
            </w:r>
          </w:p>
        </w:tc>
      </w:tr>
      <w:tr>
        <w:trPr>
          <w:cantSplit/>
        </w:trPr>
        <w:tc>
          <w:tcPr>
            <w:tcW w:type="dxa" w:w="2721"/>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Delivery / error records</w:t>
            </w:r>
          </w:p>
        </w:tc>
        <w:tc>
          <w:tcPr>
            <w:tcW w:type="dxa" w:w="7030"/>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Message/job ID, recipient email where needed, message type, send time, status, retry/error code; 30 days for company-held delivery/debug records. Send only the template/link required for that message. Resend receives any actual message body included. </w:t>
            </w:r>
            <w:r>
              <w:rPr>
                <w:rFonts w:ascii="Calibri" w:hAnsi="Calibri" w:eastAsia="Noto Sans CJK KR"/>
                <w:b/>
                <w:sz w:val="18"/>
                <w:shd w:fill="FFF0B8" w:val="clear"/>
              </w:rPr>
              <w:t>[VERIFY]</w:t>
            </w:r>
            <w:r>
              <w:rPr>
                <w:rFonts w:ascii="Calibri" w:hAnsi="Calibri" w:eastAsia="Noto Sans CJK KR"/>
                <w:sz w:val="18"/>
              </w:rPr>
              <w:t xml:space="preserve"> Deployed templates, open/link-tracking settings and provider content/log/list retention; do not apply the company period to the provider by assumption.</w:t>
            </w:r>
          </w:p>
        </w:tc>
      </w:tr>
      <w:tr>
        <w:trPr>
          <w:cantSplit/>
        </w:trPr>
        <w:tc>
          <w:tcPr>
            <w:tcW w:type="dxa" w:w="2721"/>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Campaign / referral attribution</w:t>
            </w:r>
          </w:p>
        </w:tc>
        <w:tc>
          <w:tcPr>
            <w:tcW w:type="dxa" w:w="7030"/>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Whitelisted campaign/source or partner code from QR/referral links and event time, solely to measure campaign sources; raw attributable records: 90 days. Do not infer a person’s hospital visit or condition. Partner reports: non-identifying aggregate counts only, excluding email, individual accounts, answers, photos and letters. </w:t>
            </w:r>
            <w:r>
              <w:rPr>
                <w:rFonts w:ascii="Calibri" w:hAnsi="Calibri" w:eastAsia="Noto Sans CJK KR"/>
                <w:b/>
                <w:sz w:val="18"/>
                <w:shd w:fill="FFF0B8" w:val="clear"/>
              </w:rPr>
              <w:t>[VERIFY]</w:t>
            </w:r>
            <w:r>
              <w:rPr>
                <w:rFonts w:ascii="Calibri" w:hAnsi="Calibri" w:eastAsia="Noto Sans CJK KR"/>
                <w:sz w:val="18"/>
              </w:rPr>
              <w:t xml:space="preserve"> Exact parameter names, linkage and report fields.</w:t>
            </w:r>
          </w:p>
        </w:tc>
      </w:tr>
      <w:tr>
        <w:trPr>
          <w:cantSplit/>
        </w:trPr>
        <w:tc>
          <w:tcPr>
            <w:tcW w:type="dxa" w:w="2721"/>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Uploaded-image metadata</w:t>
            </w:r>
          </w:p>
        </w:tc>
        <w:tc>
          <w:tcPr>
            <w:tcW w:type="dxa" w:w="7030"/>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Uploads may initially contain EXIF/GPS/device metadata. Strip unnecessary embedded location/device/time metadata locally before external AI transfer or archive storage. Keep only image format/dimensions necessary to process the file. Delete an unsanitized original within 24 hours, including failed jobs; sanitized temporary files follow the 7-day rule. </w:t>
            </w:r>
            <w:r>
              <w:rPr>
                <w:rFonts w:ascii="Calibri" w:hAnsi="Calibri" w:eastAsia="Noto Sans CJK KR"/>
                <w:b/>
                <w:sz w:val="18"/>
                <w:shd w:fill="FFF0B8" w:val="clear"/>
              </w:rPr>
              <w:t>[VERIFY]</w:t>
            </w:r>
            <w:r>
              <w:rPr>
                <w:rFonts w:ascii="Calibri" w:hAnsi="Calibri" w:eastAsia="Noto Sans CJK KR"/>
                <w:sz w:val="18"/>
              </w:rPr>
              <w:t xml:space="preserve"> Test stripping and deletion; do not claim metadata is never received.</w:t>
            </w:r>
          </w:p>
        </w:tc>
      </w:tr>
      <w:tr>
        <w:trPr>
          <w:cantSplit/>
        </w:trPr>
        <w:tc>
          <w:tcPr>
            <w:tcW w:type="dxa" w:w="2721"/>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Third-party sign-in data</w:t>
            </w:r>
          </w:p>
        </w:tc>
        <w:tc>
          <w:tcPr>
            <w:tcW w:type="dxa" w:w="7030"/>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FFF0B8" w:val="clear"/>
              </w:rPr>
              <w:t>[VERIFY]</w:t>
            </w:r>
            <w:r>
              <w:rPr>
                <w:rFonts w:ascii="Calibri" w:hAnsi="Calibri" w:eastAsia="Noto Sans CJK KR"/>
                <w:sz w:val="18"/>
              </w:rPr>
              <w:t xml:space="preserve"> Active social sign-in providers are not established. The historical email-authentication setup does not prove that Google/Apple/other sign-in is disabled. If enabled, list each actual source, external account ID, email and any profile fields; remove unnecessary fields and specify account-lifecycle deletion. Do not publish “none” until the login flow has been audited.</w:t>
            </w:r>
          </w:p>
        </w:tc>
      </w:tr>
    </w:tbl>
    <w:p>
      <w:pPr>
        <w:keepNext w:val="0"/>
        <w:spacing w:after="40" w:before="0" w:line="40" w:lineRule="exact"/>
      </w:pPr>
      <w:r>
        <w:rPr>
          <w:sz w:val="4"/>
        </w:rPr>
      </w:r>
    </w:p>
    <w:p>
      <w:pPr>
        <w:pStyle w:val="Heading2"/>
        <w:pageBreakBefore/>
      </w:pPr>
      <w:r>
        <w:rPr>
          <w:rFonts w:ascii="Calibri" w:hAnsi="Calibri" w:eastAsia="Noto Sans CJK KR"/>
        </w:rPr>
        <w:t>B2. Cookie and similar-storage register — proposed controls</w:t>
      </w:r>
    </w:p>
    <w:tbl>
      <w:tblPr>
        <w:tblW w:type="auto" w:w="0"/>
        <w:jc w:val="center"/>
        <w:tblLayout w:type="fixed"/>
        <w:tblLook w:firstColumn="1" w:firstRow="1" w:lastColumn="0" w:lastRow="0" w:noHBand="0" w:noVBand="1" w:val="04A0"/>
      </w:tblPr>
      <w:tblGrid>
        <w:gridCol w:w="2778"/>
        <w:gridCol w:w="2835"/>
        <w:gridCol w:w="1644"/>
        <w:gridCol w:w="2494"/>
      </w:tblGrid>
      <w:tr>
        <w:trPr>
          <w:tblHeader/>
          <w:cantSplit/>
        </w:trPr>
        <w:tc>
          <w:tcPr>
            <w:tcW w:type="dxa" w:w="2778"/>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Name / provider</w:t>
            </w:r>
          </w:p>
        </w:tc>
        <w:tc>
          <w:tcPr>
            <w:tcW w:type="dxa" w:w="2835"/>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Purpose / category</w:t>
            </w:r>
          </w:p>
        </w:tc>
        <w:tc>
          <w:tcPr>
            <w:tcW w:type="dxa" w:w="1644"/>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Duration</w:t>
            </w:r>
          </w:p>
        </w:tc>
        <w:tc>
          <w:tcPr>
            <w:tcW w:type="dxa" w:w="2494"/>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Control / ground</w:t>
            </w:r>
          </w:p>
        </w:tc>
      </w:tr>
      <w:tr>
        <w:trPr>
          <w:cantSplit/>
        </w:trPr>
        <w:tc>
          <w:tcPr>
            <w:tcW w:type="dxa" w:w="277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Authentication / session storage</w:t>
              <w:br/>
            </w:r>
            <w:r>
              <w:rPr>
                <w:rFonts w:ascii="Calibri" w:hAnsi="Calibri" w:eastAsia="Noto Sans CJK KR"/>
                <w:b/>
                <w:sz w:val="18"/>
                <w:shd w:fill="FFF0B8" w:val="clear"/>
              </w:rPr>
              <w:t>[VERIFY]</w:t>
            </w:r>
            <w:r>
              <w:rPr>
                <w:rFonts w:ascii="Calibri" w:hAnsi="Calibri" w:eastAsia="Noto Sans CJK KR"/>
                <w:sz w:val="18"/>
              </w:rPr>
              <w:t xml:space="preserve"> Exact cookie or browser-storage key and provider.</w:t>
            </w:r>
          </w:p>
        </w:tc>
        <w:tc>
          <w:tcPr>
            <w:tcW w:type="dxa" w:w="2835"/>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Necessary account/session access, only for the actual sign-in method. Do not disguise persistent browser storage as a session cookie.</w:t>
            </w:r>
          </w:p>
        </w:tc>
        <w:tc>
          <w:tcPr>
            <w:tcW w:type="dxa" w:w="164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Session-bound by default; up to 30 days only for an explicitly selected persistent-login option, if offered. Actual token/refresh expiry must be verified.</w:t>
            </w:r>
          </w:p>
        </w:tc>
        <w:tc>
          <w:tcPr>
            <w:tcW w:type="dxa" w:w="249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 xml:space="preserve">Log out/revoke sessions; browser storage controls; necessary-service ground where applicable. </w:t>
            </w:r>
            <w:r>
              <w:rPr>
                <w:rFonts w:ascii="Calibri" w:hAnsi="Calibri" w:eastAsia="Noto Sans CJK KR"/>
                <w:b/>
                <w:sz w:val="18"/>
                <w:shd w:fill="FFF0B8" w:val="clear"/>
              </w:rPr>
              <w:t>[VERIFY]</w:t>
            </w:r>
            <w:r>
              <w:rPr>
                <w:rFonts w:ascii="Calibri" w:hAnsi="Calibri" w:eastAsia="Noto Sans CJK KR"/>
                <w:sz w:val="18"/>
              </w:rPr>
              <w:t xml:space="preserve"> Implement and test, including whether server invalidation leaves a local token.</w:t>
            </w:r>
          </w:p>
        </w:tc>
      </w:tr>
      <w:tr>
        <w:trPr>
          <w:cantSplit/>
        </w:trPr>
        <w:tc>
          <w:tcPr>
            <w:tcW w:type="dxa" w:w="2778"/>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Security / anti-forgery storage</w:t>
              <w:br/>
            </w:r>
            <w:r>
              <w:rPr>
                <w:rFonts w:ascii="Calibri" w:hAnsi="Calibri" w:eastAsia="Noto Sans CJK KR"/>
                <w:b/>
                <w:sz w:val="18"/>
                <w:shd w:fill="FFF0B8" w:val="clear"/>
              </w:rPr>
              <w:t>[VERIFY]</w:t>
            </w:r>
            <w:r>
              <w:rPr>
                <w:rFonts w:ascii="Calibri" w:hAnsi="Calibri" w:eastAsia="Noto Sans CJK KR"/>
                <w:sz w:val="18"/>
              </w:rPr>
              <w:t xml:space="preserve"> Actual entry, or remove after audit.</w:t>
            </w:r>
          </w:p>
        </w:tc>
        <w:tc>
          <w:tcPr>
            <w:tcW w:type="dxa" w:w="2835"/>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Only a demonstrated anti-forgery/security purpose. No separate additional security cookie is assumed to exist.</w:t>
            </w:r>
          </w:p>
        </w:tc>
        <w:tc>
          <w:tcPr>
            <w:tcW w:type="dxa" w:w="1644"/>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Request/session lifetime where possible. </w:t>
            </w:r>
            <w:r>
              <w:rPr>
                <w:rFonts w:ascii="Calibri" w:hAnsi="Calibri" w:eastAsia="Noto Sans CJK KR"/>
                <w:b/>
                <w:sz w:val="18"/>
                <w:shd w:fill="FFF0B8" w:val="clear"/>
              </w:rPr>
              <w:t>[VERIFY]</w:t>
            </w:r>
            <w:r>
              <w:rPr>
                <w:rFonts w:ascii="Calibri" w:hAnsi="Calibri" w:eastAsia="Noto Sans CJK KR"/>
                <w:sz w:val="18"/>
              </w:rPr>
              <w:t xml:space="preserve"> Actual expiry.</w:t>
            </w:r>
          </w:p>
        </w:tc>
        <w:tc>
          <w:tcPr>
            <w:tcW w:type="dxa" w:w="2494"/>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Necessary security only. Explain any effect of blocking; do not add an invented cookie name.</w:t>
            </w:r>
          </w:p>
        </w:tc>
      </w:tr>
      <w:tr>
        <w:trPr>
          <w:cantSplit/>
        </w:trPr>
        <w:tc>
          <w:tcPr>
            <w:tcW w:type="dxa" w:w="2778"/>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Language / preference storage</w:t>
              <w:br/>
            </w:r>
            <w:r>
              <w:rPr>
                <w:rFonts w:ascii="Calibri" w:hAnsi="Calibri" w:eastAsia="Noto Sans CJK KR"/>
                <w:b/>
                <w:sz w:val="18"/>
                <w:shd w:fill="FFF0B8" w:val="clear"/>
              </w:rPr>
              <w:t>[VERIFY]</w:t>
            </w:r>
            <w:r>
              <w:rPr>
                <w:rFonts w:ascii="Calibri" w:hAnsi="Calibri" w:eastAsia="Noto Sans CJK KR"/>
                <w:sz w:val="18"/>
              </w:rPr>
              <w:t xml:space="preserve"> Exact key and provider.</w:t>
            </w:r>
          </w:p>
        </w:tc>
        <w:tc>
          <w:tcPr>
            <w:tcW w:type="dxa" w:w="2835"/>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Remember an explicitly selected language or preference. Consent evidence is kept separately under Section 6, not used as an advertising identifier.</w:t>
            </w:r>
          </w:p>
        </w:tc>
        <w:tc>
          <w:tcPr>
            <w:tcW w:type="dxa" w:w="164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b/>
                <w:sz w:val="18"/>
                <w:shd w:fill="E8F3F6" w:val="clear"/>
              </w:rPr>
              <w:t>[PROPOSED]</w:t>
            </w:r>
            <w:r>
              <w:rPr>
                <w:rFonts w:ascii="Calibri" w:hAnsi="Calibri" w:eastAsia="Noto Sans CJK KR"/>
                <w:sz w:val="18"/>
              </w:rPr>
              <w:t xml:space="preserve"> Up to 12 months from selection, or earlier deletion/change. </w:t>
            </w:r>
            <w:r>
              <w:rPr>
                <w:rFonts w:ascii="Calibri" w:hAnsi="Calibri" w:eastAsia="Noto Sans CJK KR"/>
                <w:b/>
                <w:sz w:val="18"/>
                <w:shd w:fill="FFF0B8" w:val="clear"/>
              </w:rPr>
              <w:t>[VERIFY]</w:t>
            </w:r>
            <w:r>
              <w:rPr>
                <w:rFonts w:ascii="Calibri" w:hAnsi="Calibri" w:eastAsia="Noto Sans CJK KR"/>
                <w:sz w:val="18"/>
              </w:rPr>
              <w:t xml:space="preserve"> Actual implementation.</w:t>
            </w:r>
          </w:p>
        </w:tc>
        <w:tc>
          <w:tcPr>
            <w:tcW w:type="dxa" w:w="2494"/>
            <w:shd w:fill="F2F6F7"/>
            <w:vAlign w:val="top"/>
            <w:tcMar>
              <w:top w:w="80" w:type="dxa"/>
              <w:left w:w="95" w:type="dxa"/>
              <w:bottom w:w="80" w:type="dxa"/>
              <w:right w:w="95" w:type="dxa"/>
            </w:tcMar>
          </w:tcPr>
          <w:p>
            <w:pPr>
              <w:keepNext w:val="0"/>
              <w:spacing w:after="60" w:before="0" w:line="257" w:lineRule="auto"/>
            </w:pPr>
            <w:r>
              <w:rPr>
                <w:rFonts w:ascii="Calibri" w:hAnsi="Calibri" w:eastAsia="Noto Sans CJK KR"/>
                <w:sz w:val="18"/>
              </w:rPr>
              <w:t>Change through the language control or browser settings where implemented. Apply consent requirements where relevant; do not claim a settings screen exists without testing.</w:t>
            </w:r>
          </w:p>
        </w:tc>
      </w:tr>
    </w:tbl>
    <w:p>
      <w:pPr>
        <w:keepNext w:val="0"/>
        <w:spacing w:after="40" w:before="0" w:line="40" w:lineRule="exact"/>
      </w:pPr>
      <w:r>
        <w:rPr>
          <w:sz w:val="4"/>
        </w:rPr>
      </w:r>
    </w:p>
    <w:p>
      <w:r>
        <w:rPr>
          <w:rFonts w:ascii="Calibri" w:hAnsi="Calibri" w:eastAsia="Noto Sans CJK KR"/>
          <w:b/>
          <w:shd w:fill="E8F3F6" w:val="clear"/>
        </w:rPr>
        <w:t>[PROPOSED]</w:t>
      </w:r>
      <w:r>
        <w:rPr>
          <w:rFonts w:ascii="Calibri" w:hAnsi="Calibri" w:eastAsia="Noto Sans CJK KR"/>
        </w:rPr>
        <w:t xml:space="preserve"> Behavioral-advertising pixels, server-side advertising matching, session replay, and individual email-open tracking remain OFF under the source campaign profile. Verify all scripts, server events and email settings before publication. No working cookie-settings URL is asserted. Browser controls are not a substitute for a required consent choice; add and test a suitable choice mechanism before enabling any optional technology that requires it.</w:t>
      </w:r>
    </w:p>
    <w:p>
      <w:pPr>
        <w:pStyle w:val="Heading2"/>
      </w:pPr>
      <w:r>
        <w:rPr>
          <w:rFonts w:ascii="Calibri" w:hAnsi="Calibri" w:cs="Calibri" w:eastAsia="Noto Sans CJK KR"/>
          <w:b w:val="0"/>
        </w:rPr>
        <w:t>B3. Covered U.S. category mapping</w:t>
      </w:r>
    </w:p>
    <w:tbl>
      <w:tblPr>
        <w:tblW w:type="auto" w:w="0"/>
        <w:jc w:val="center"/>
        <w:tblLayout w:type="fixed"/>
        <w:tblLook w:firstColumn="1" w:firstRow="1" w:lastColumn="0" w:lastRow="0" w:noHBand="0" w:noVBand="1" w:val="04A0"/>
      </w:tblPr>
      <w:tblGrid>
        <w:gridCol w:w="3515"/>
        <w:gridCol w:w="6236"/>
      </w:tblGrid>
      <w:tr>
        <w:trPr>
          <w:tblHeader/>
          <w:cantSplit/>
        </w:trPr>
        <w:tc>
          <w:tcPr>
            <w:tcW w:type="dxa" w:w="3515"/>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Category / source</w:t>
            </w:r>
          </w:p>
        </w:tc>
        <w:tc>
          <w:tcPr>
            <w:tcW w:type="dxa" w:w="6236"/>
            <w:shd w:fill="153B4A"/>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color w:val="FFFFFF"/>
                <w:sz w:val="17"/>
              </w:rPr>
              <w:t>Purpose and recipient category</w:t>
            </w:r>
          </w:p>
        </w:tc>
      </w:tr>
      <w:tr>
        <w:trPr>
          <w:cantSplit/>
        </w:trPr>
        <w:tc>
          <w:tcPr>
            <w:tcW w:type="dxa" w:w="3515"/>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Identifiers — provided by you or generated for your account</w:t>
            </w:r>
          </w:p>
        </w:tc>
        <w:tc>
          <w:tcPr>
            <w:tcW w:type="dxa" w:w="6236"/>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Email delivery, account access, privacy choices and support; hosting/authentication/email processors.</w:t>
            </w:r>
          </w:p>
        </w:tc>
      </w:tr>
      <w:tr>
        <w:trPr>
          <w:cantSplit/>
        </w:trPr>
        <w:tc>
          <w:tcPr>
            <w:tcW w:type="dxa" w:w="3515"/>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Content and photographs — submitted by you; generated results</w:t>
            </w:r>
          </w:p>
        </w:tc>
        <w:tc>
          <w:tcPr>
            <w:tcW w:type="dxa" w:w="6236"/>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Requested letter/stamp and saved archive; identified AI and hosting providers; limited authorized support access.</w:t>
            </w:r>
          </w:p>
        </w:tc>
      </w:tr>
      <w:tr>
        <w:trPr>
          <w:cantSplit/>
        </w:trPr>
        <w:tc>
          <w:tcPr>
            <w:tcW w:type="dxa" w:w="3515"/>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Internet / technical activity — service operation</w:t>
            </w:r>
          </w:p>
        </w:tc>
        <w:tc>
          <w:tcPr>
            <w:tcW w:type="dxa" w:w="6236"/>
            <w:shd w:fill="F2F6F7"/>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Only B1/B2 fields; necessary service, security and disclosed attribution; listed relevant providers.</w:t>
            </w:r>
          </w:p>
        </w:tc>
      </w:tr>
      <w:tr>
        <w:trPr>
          <w:cantSplit/>
        </w:trPr>
        <w:tc>
          <w:tcPr>
            <w:tcW w:type="dxa" w:w="3515"/>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Information received indirectly</w:t>
            </w:r>
          </w:p>
        </w:tc>
        <w:tc>
          <w:tcPr>
            <w:tcW w:type="dxa" w:w="6236"/>
            <w:vAlign w:val="top"/>
            <w:tcMar>
              <w:top w:w="80" w:type="dxa"/>
              <w:left w:w="95" w:type="dxa"/>
              <w:bottom w:w="80" w:type="dxa"/>
              <w:right w:w="95" w:type="dxa"/>
            </w:tcMar>
          </w:tcPr>
          <w:p>
            <w:pPr>
              <w:keepNext w:val="0"/>
              <w:spacing w:after="60" w:before="0" w:line="269" w:lineRule="auto"/>
            </w:pPr>
            <w:r>
              <w:rPr>
                <w:rFonts w:ascii="Calibri" w:hAnsi="Calibri" w:cs="Calibri" w:eastAsia="Noto Sans CJK KR"/>
                <w:b w:val="0"/>
                <w:sz w:val="17"/>
              </w:rPr>
              <w:t>Only the sources actually disclosed in Section 2.3/B1. No automatic marketing enrollment of a Kickstarter backer list.</w:t>
            </w:r>
          </w:p>
        </w:tc>
      </w:tr>
    </w:tbl>
    <w:p>
      <w:pPr>
        <w:keepNext w:val="0"/>
        <w:spacing w:after="40" w:before="0" w:line="40" w:lineRule="exact"/>
      </w:pPr>
      <w:r>
        <w:rPr>
          <w:sz w:val="4"/>
        </w:rPr>
      </w:r>
    </w:p>
    <w:p>
      <w:pPr>
        <w:pStyle w:val="Small"/>
      </w:pPr>
      <w:r>
        <w:rPr>
          <w:rFonts w:ascii="Calibri" w:hAnsi="Calibri" w:eastAsia="Noto Sans CJK KR"/>
        </w:rPr>
        <w:t xml:space="preserve">Retention: Section 6. The source campaign profile proposes no sale/advertising sharing. </w:t>
      </w:r>
      <w:r>
        <w:rPr>
          <w:rFonts w:ascii="Calibri" w:hAnsi="Calibri" w:eastAsia="Noto Sans CJK KR"/>
          <w:b/>
          <w:shd w:fill="FFF0B8" w:val="clear"/>
        </w:rPr>
        <w:t>[VERIFY]</w:t>
      </w:r>
      <w:r>
        <w:rPr>
          <w:rFonts w:ascii="Calibri" w:hAnsi="Calibri" w:eastAsia="Noto Sans CJK KR"/>
        </w:rPr>
        <w:t xml:space="preserve"> Actual prior 12-month history and recipient categories have not been audited; this draft does not claim that there were no previous disclosures. Requests: Section 12. A new policy does not erase previous processing.</w:t>
      </w:r>
    </w:p>
    <w:p>
      <w:pPr>
        <w:pStyle w:val="Heading1"/>
        <w:pageBreakBefore/>
      </w:pPr>
      <w:r>
        <w:t>INTERNAL NOTE — SOURCES AND PUBLICATION CHECK</w:t>
      </w:r>
    </w:p>
    <w:p>
      <w:pPr>
        <w:pStyle w:val="Heading2"/>
      </w:pPr>
      <w:r>
        <w:t>문서의 근거와 남은 검증</w:t>
      </w:r>
    </w:p>
    <w:p>
      <w:r>
        <w:t>회사정보는 2026년 9월 21일 사용자 메시지에 근거합니다. 국문·영문 상호, 대표·문의 담당자 이름, 전화번호 및 주소는 제공된 표기를 사용했습니다. 주소의 시/구·우편번호, 성명의 영문 표기와 전용 이메일은 추정하지 않았습니다. 로컬 서버 저장은 운영 계획으로 반영했으며 국내 실제 설치나 기존 데이터 이전 완료로 표시하지 않았습니다.</w:t>
      </w:r>
    </w:p>
    <w:p>
      <w:r>
        <w:t>원문: 사용자 첨부 Privacy Policy — SoulTrace &amp; Eternal Beam, CAMPAIGN-1.0-DRAFT, 2026-09-17. 본 수정은 원문 1–12항과 Schedule A/B의 적용 범위 및 설명 틀을 유지합니다. 해외 권리·이전 문구를 각 국가의 최신 법률에 맞게 전면 재검토한 법률 의견서는 아닙니다. 한국어·일본어 공개판이 필요하면 확정된 사실을 기준으로 별도 현지화해야 합니다.</w:t>
      </w:r>
    </w:p>
    <w:p>
      <w:r>
        <w:t>과거 프로젝트 맥락: 2026년 8월 21일의 QR → SoulTrace 설문·무료 편지 → 별도 유료 상품 흐름, 2026년 9월 12일의 Supabase 이메일 인증 및 Resend 설정 논의를 참조했습니다. 과거 무료 편지에서 고비용 모션 생성을 분리한다는 범위를 유지했습니다. 과거 설정 논의는 현재 활성화·발송 성공·배포 국가의 증거가 아닙니다. 현재 저장소 연결은 실패하여 코드, 로그, 쿠키, 환경변수 및 실제 API 라우팅을 읽지 못했습니다.</w:t>
      </w:r>
    </w:p>
    <w:p>
      <w:r>
        <w:t>이번에 새로 제안한 값: 설문 입력 30일, 임시파일 7일, 미정리 사진 원본 24시간, 일반 로그 90일, 발송/오류 기록 30일, 상담 12개월, 권리 요청 24개월, 동의 증빙 최대 3년, 회사 백업 30일, 마케팅 재동의 기준 12개월. 각 기산점·예외는 제6항과 Schedule B에 적었습니다. 이 값들은 실제 구현값이나 모든 국가의 법정 보관기간이 아닙니다. 개인정보취급자 접근기록 등 별도 의무는 반드시 분리 검토해야 합니다.</w:t>
      </w:r>
    </w:p>
    <w:p>
      <w:pPr>
        <w:pStyle w:val="Heading2"/>
      </w:pPr>
      <w:r>
        <w:t>공개자료 확인 — 2026년 9월 21일 열람</w:t>
      </w:r>
    </w:p>
    <w:p>
      <w:pPr>
        <w:spacing w:after="100"/>
      </w:pPr>
      <w:r>
        <w:rPr>
          <w:b/>
          <w:sz w:val="18"/>
        </w:rPr>
        <w:t xml:space="preserve">[R1] </w:t>
      </w:r>
      <w:hyperlink r:id="rId11">
        <w:r>
          <w:rPr>
            <w:color w:val="173E4B"/>
            <w:u w:val="single"/>
          </w:rPr>
          <w:t>개인정보보호위원회: 개인정보 처리방침 작성지침(2026.4. 개정) 게시 페이지</w:t>
        </w:r>
      </w:hyperlink>
      <w:r>
        <w:rPr>
          <w:sz w:val="18"/>
        </w:rPr>
        <w:br/>
        <w:t>작성·공개 지침의 현행 게시 여부와 기관 연락 경로를 확인했습니다. 안내서 전체의 조항별 적합성 검토를 의미하지 않습니다.</w:t>
      </w:r>
    </w:p>
    <w:p>
      <w:pPr>
        <w:spacing w:after="100"/>
      </w:pPr>
      <w:r>
        <w:rPr>
          <w:b/>
          <w:sz w:val="18"/>
        </w:rPr>
        <w:t xml:space="preserve">[R2] </w:t>
      </w:r>
      <w:hyperlink r:id="rId12">
        <w:r>
          <w:rPr>
            <w:color w:val="173E4B"/>
            <w:u w:val="single"/>
          </w:rPr>
          <w:t>Resend: Data Processing Addendum (2026-08-27)</w:t>
        </w:r>
      </w:hyperlink>
      <w:r>
        <w:rPr>
          <w:sz w:val="18"/>
        </w:rPr>
        <w:br/>
        <w:t>공개 계약 상대방 Plus Five Five, Inc., privacy@resend.com, 미국 주 처리, 역할 구분 및 계약 종료 후 90일 삭제 설명을 참조했습니다. 실제 계정의 계약·활성 이용 중 보관기간·하위처리자 경로는 미확인입니다.</w:t>
      </w:r>
    </w:p>
    <w:p>
      <w:pPr>
        <w:spacing w:after="100"/>
      </w:pPr>
      <w:r>
        <w:rPr>
          <w:b/>
          <w:sz w:val="18"/>
        </w:rPr>
        <w:t xml:space="preserve">[R3] </w:t>
      </w:r>
      <w:hyperlink r:id="rId13">
        <w:r>
          <w:rPr>
            <w:color w:val="173E4B"/>
            <w:u w:val="single"/>
          </w:rPr>
          <w:t>Supabase: Data Processing Addendum (2026-08-01)</w:t>
        </w:r>
      </w:hyperlink>
      <w:r>
        <w:rPr>
          <w:sz w:val="18"/>
        </w:rPr>
        <w:br/>
        <w:t>공개 계약 상대방 Supabase Pte. Ltd. 및 관리형 서비스의 지역·처리자 구조를 참조했습니다. 회사의 실행 계약, 프로젝트 리전, 연락처, 보관·삭제 설정은 미확인입니다.</w:t>
      </w:r>
    </w:p>
    <w:p>
      <w:pPr>
        <w:spacing w:after="100"/>
      </w:pPr>
      <w:r>
        <w:rPr>
          <w:b/>
          <w:sz w:val="18"/>
        </w:rPr>
        <w:t xml:space="preserve">[R4] </w:t>
      </w:r>
      <w:hyperlink r:id="rId14">
        <w:r>
          <w:rPr>
            <w:color w:val="173E4B"/>
            <w:u w:val="single"/>
          </w:rPr>
          <w:t>Supabase: Self-Hosting documentation</w:t>
        </w:r>
      </w:hyperlink>
      <w:r>
        <w:rPr>
          <w:sz w:val="18"/>
        </w:rPr>
        <w:br/>
        <w:t>자체 호스팅과 관리형 서비스를 구분하고, 자체 호스팅의 보안·유지보수·백업 책임을 참조했습니다. 회사가 이 방식으로 배포했다는 증거는 아닙니다.</w:t>
      </w:r>
    </w:p>
    <w:p>
      <w:pPr>
        <w:pStyle w:val="Heading2"/>
      </w:pPr>
      <w:r>
        <w:t>게시 승인 조건</w:t>
      </w:r>
    </w:p>
    <w:p>
      <w:r>
        <w:t>시행일·이메일·완전한 우편주소를 확정하고, 실제 업체/국가/국외이전 근거·삭제 설정·수신거부·쿠키·보안조치·대상 국가/대리인을 검증합니다. 운영 제안의 승인·구현 후 표지·내부 메모와 [PROPOSED]/[VERIFY] 등 작성 표식을 제거하고, 확인된 사실만 남겨 공개합니다. 이 문서 작성 자체로 외부 게시, 서버 변경, 데이터 이동·삭제 또는 업체 계약 체결은 이루어지지 않았습니다.</w:t>
      </w:r>
    </w:p>
    <w:sectPr w:rsidR="00FC693F" w:rsidRPr="0006063C" w:rsidSect="00034616">
      <w:headerReference w:type="default" r:id="rId9"/>
      <w:footerReference w:type="default" r:id="rId10"/>
      <w:pgSz w:w="11906" w:h="16838"/>
      <w:pgMar w:top="964"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Noto Sans CJK KR"/>
        <w:b w:val="0"/>
        <w:color w:val="56636A"/>
        <w:sz w:val="16"/>
      </w:rPr>
      <w:t xml:space="preserve">LOCAL-STORAGE DRAFT  |  2026-09-21  |  </w:t>
    </w: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s="Calibri" w:eastAsia="Noto Sans CJK KR"/>
        <w:b/>
        <w:color w:val="236B76"/>
        <w:sz w:val="16"/>
      </w:rPr>
      <w:t>SOULTRACE / ETERNAL BEAM · TVA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Noto Sans CJK KR"/>
    </w:rPr>
  </w:style>
  <w:style w:type="character" w:customStyle="1" w:styleId="HeaderChar">
    <w:name w:val="Header Char"/>
    <w:basedOn w:val="DefaultParagraphFont"/>
    <w:link w:val="Header"/>
    <w:uiPriority w:val="99"/>
    <w:rsid w:val="00E618BF"/>
    <w:rPr>
      <w:rFonts w:eastAsia="Noto Sans CJK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Noto Sans CJK KR"/>
    </w:rPr>
  </w:style>
  <w:style w:type="character" w:customStyle="1" w:styleId="FooterChar">
    <w:name w:val="Footer Char"/>
    <w:basedOn w:val="DefaultParagraphFont"/>
    <w:link w:val="Footer"/>
    <w:uiPriority w:val="99"/>
    <w:rsid w:val="00E618BF"/>
    <w:rPr>
      <w:rFonts w:eastAsia="Noto Sans CJK KR"/>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eastAsia="Noto Sans CJK KR"/>
      <w:b/>
      <w:bCs/>
      <w:color w:val="153B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eastAsia="Noto Sans CJK KR"/>
      <w:b/>
      <w:bCs/>
      <w:color w:val="153B4A"/>
      <w:sz w:val="22"/>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eastAsia="Noto Sans CJK KR"/>
      <w:b/>
      <w:bCs/>
      <w:color w:val="153B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Noto Sans CJK KR"/>
      <w:i/>
      <w:iCs/>
      <w:color w:val="404040" w:themeColor="text1" w:themeTint="BF"/>
      <w:sz w:val="20"/>
      <w:szCs w:val="20"/>
    </w:rPr>
  </w:style>
  <w:style w:type="character" w:default="1" w:styleId="DefaultParagraphFont">
    <w:name w:val="Default Paragraph Font"/>
    <w:uiPriority w:val="1"/>
    <w:semiHidden/>
    <w:unhideWhenUsed/>
    <w:rPr>
      <w:rFonts w:eastAsia="Noto Sans CJK K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Noto Sans CJK KR"/>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Noto Sans CJK KR"/>
      <w:color w:val="153B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Calibri" w:hAnsi="Calibri" w:eastAsia="Noto Sans CJK KR"/>
      <w:i/>
      <w:iCs/>
      <w:color w:val="153B4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Noto Sans CJK KR"/>
    </w:rPr>
  </w:style>
  <w:style w:type="paragraph" w:styleId="BodyText">
    <w:name w:val="Body Text"/>
    <w:basedOn w:val="Normal"/>
    <w:link w:val="BodyTextChar"/>
    <w:uiPriority w:val="99"/>
    <w:unhideWhenUsed/>
    <w:rsid w:val="00AA1D8D"/>
    <w:pPr>
      <w:spacing w:after="120"/>
    </w:pPr>
    <w:rPr>
      <w:rFonts w:eastAsia="Noto Sans CJK KR"/>
    </w:rPr>
  </w:style>
  <w:style w:type="character" w:customStyle="1" w:styleId="BodyTextChar">
    <w:name w:val="Body Text Char"/>
    <w:basedOn w:val="DefaultParagraphFont"/>
    <w:link w:val="BodyText"/>
    <w:uiPriority w:val="99"/>
    <w:rsid w:val="00AA1D8D"/>
    <w:rPr>
      <w:rFonts w:eastAsia="Noto Sans CJK KR"/>
    </w:rPr>
  </w:style>
  <w:style w:type="paragraph" w:styleId="BodyText2">
    <w:name w:val="Body Text 2"/>
    <w:basedOn w:val="Normal"/>
    <w:link w:val="BodyText2Char"/>
    <w:uiPriority w:val="99"/>
    <w:unhideWhenUsed/>
    <w:rsid w:val="00AA1D8D"/>
    <w:pPr>
      <w:spacing w:after="120" w:line="480" w:lineRule="auto"/>
    </w:pPr>
    <w:rPr>
      <w:rFonts w:eastAsia="Noto Sans CJK KR"/>
    </w:rPr>
  </w:style>
  <w:style w:type="character" w:customStyle="1" w:styleId="BodyText2Char">
    <w:name w:val="Body Text 2 Char"/>
    <w:basedOn w:val="DefaultParagraphFont"/>
    <w:link w:val="BodyText2"/>
    <w:uiPriority w:val="99"/>
    <w:rsid w:val="00AA1D8D"/>
    <w:rPr>
      <w:rFonts w:eastAsia="Noto Sans CJK KR"/>
    </w:rPr>
  </w:style>
  <w:style w:type="paragraph" w:styleId="BodyText3">
    <w:name w:val="Body Text 3"/>
    <w:basedOn w:val="Normal"/>
    <w:link w:val="BodyText3Char"/>
    <w:uiPriority w:val="99"/>
    <w:unhideWhenUsed/>
    <w:rsid w:val="00AA1D8D"/>
    <w:pPr>
      <w:spacing w:after="120"/>
    </w:pPr>
    <w:rPr>
      <w:rFonts w:eastAsia="Noto Sans CJK KR"/>
      <w:sz w:val="16"/>
      <w:szCs w:val="16"/>
    </w:rPr>
  </w:style>
  <w:style w:type="character" w:customStyle="1" w:styleId="BodyText3Char">
    <w:name w:val="Body Text 3 Char"/>
    <w:basedOn w:val="DefaultParagraphFont"/>
    <w:link w:val="BodyText3"/>
    <w:uiPriority w:val="99"/>
    <w:rsid w:val="00AA1D8D"/>
    <w:rPr>
      <w:rFonts w:eastAsia="Noto Sans CJK KR"/>
      <w:sz w:val="16"/>
      <w:szCs w:val="16"/>
    </w:rPr>
  </w:style>
  <w:style w:type="paragraph" w:styleId="List">
    <w:name w:val="List"/>
    <w:basedOn w:val="Normal"/>
    <w:uiPriority w:val="99"/>
    <w:unhideWhenUsed/>
    <w:rsid w:val="00AA1D8D"/>
    <w:pPr>
      <w:ind w:left="360" w:hanging="360"/>
      <w:contextualSpacing/>
    </w:pPr>
    <w:rPr>
      <w:rFonts w:eastAsia="Noto Sans CJK KR"/>
    </w:rPr>
  </w:style>
  <w:style w:type="paragraph" w:styleId="List2">
    <w:name w:val="List 2"/>
    <w:basedOn w:val="Normal"/>
    <w:uiPriority w:val="99"/>
    <w:unhideWhenUsed/>
    <w:rsid w:val="00326F90"/>
    <w:pPr>
      <w:ind w:left="720" w:hanging="360"/>
      <w:contextualSpacing/>
    </w:pPr>
    <w:rPr>
      <w:rFonts w:eastAsia="Noto Sans CJK KR"/>
    </w:rPr>
  </w:style>
  <w:style w:type="paragraph" w:styleId="List3">
    <w:name w:val="List 3"/>
    <w:basedOn w:val="Normal"/>
    <w:uiPriority w:val="99"/>
    <w:unhideWhenUsed/>
    <w:rsid w:val="00326F90"/>
    <w:pPr>
      <w:ind w:left="1080" w:hanging="360"/>
      <w:contextualSpacing/>
    </w:pPr>
    <w:rPr>
      <w:rFonts w:eastAsia="Noto Sans CJK KR"/>
    </w:rPr>
  </w:style>
  <w:style w:type="paragraph" w:styleId="ListBullet">
    <w:name w:val="List Bullet"/>
    <w:basedOn w:val="Normal"/>
    <w:uiPriority w:val="99"/>
    <w:unhideWhenUsed/>
    <w:rsid w:val="00326F90"/>
    <w:pPr>
      <w:numPr>
        <w:numId w:val="1"/>
      </w:numPr>
      <w:contextualSpacing/>
    </w:pPr>
    <w:rPr>
      <w:rFonts w:eastAsia="Noto Sans CJK KR"/>
    </w:rPr>
  </w:style>
  <w:style w:type="paragraph" w:styleId="ListBullet2">
    <w:name w:val="List Bullet 2"/>
    <w:basedOn w:val="Normal"/>
    <w:uiPriority w:val="99"/>
    <w:unhideWhenUsed/>
    <w:rsid w:val="00326F90"/>
    <w:pPr>
      <w:numPr>
        <w:numId w:val="2"/>
      </w:numPr>
      <w:contextualSpacing/>
    </w:pPr>
    <w:rPr>
      <w:rFonts w:eastAsia="Noto Sans CJK KR"/>
    </w:rPr>
  </w:style>
  <w:style w:type="paragraph" w:styleId="ListBullet3">
    <w:name w:val="List Bullet 3"/>
    <w:basedOn w:val="Normal"/>
    <w:uiPriority w:val="99"/>
    <w:unhideWhenUsed/>
    <w:rsid w:val="00326F90"/>
    <w:pPr>
      <w:numPr>
        <w:numId w:val="3"/>
      </w:numPr>
      <w:contextualSpacing/>
    </w:pPr>
    <w:rPr>
      <w:rFonts w:eastAsia="Noto Sans CJK KR"/>
    </w:rPr>
  </w:style>
  <w:style w:type="paragraph" w:styleId="ListNumber">
    <w:name w:val="List Number"/>
    <w:basedOn w:val="Normal"/>
    <w:uiPriority w:val="99"/>
    <w:unhideWhenUsed/>
    <w:rsid w:val="00326F90"/>
    <w:pPr>
      <w:numPr>
        <w:numId w:val="5"/>
      </w:numPr>
      <w:contextualSpacing/>
    </w:pPr>
    <w:rPr>
      <w:rFonts w:eastAsia="Noto Sans CJK KR"/>
    </w:rPr>
  </w:style>
  <w:style w:type="paragraph" w:styleId="ListNumber2">
    <w:name w:val="List Number 2"/>
    <w:basedOn w:val="Normal"/>
    <w:uiPriority w:val="99"/>
    <w:unhideWhenUsed/>
    <w:rsid w:val="0029639D"/>
    <w:pPr>
      <w:numPr>
        <w:numId w:val="6"/>
      </w:numPr>
      <w:contextualSpacing/>
    </w:pPr>
    <w:rPr>
      <w:rFonts w:eastAsia="Noto Sans CJK KR"/>
    </w:rPr>
  </w:style>
  <w:style w:type="paragraph" w:styleId="ListNumber3">
    <w:name w:val="List Number 3"/>
    <w:basedOn w:val="Normal"/>
    <w:uiPriority w:val="99"/>
    <w:unhideWhenUsed/>
    <w:rsid w:val="0029639D"/>
    <w:pPr>
      <w:numPr>
        <w:numId w:val="7"/>
      </w:numPr>
      <w:contextualSpacing/>
    </w:pPr>
    <w:rPr>
      <w:rFonts w:eastAsia="Noto Sans CJK KR"/>
    </w:rPr>
  </w:style>
  <w:style w:type="paragraph" w:styleId="ListContinue">
    <w:name w:val="List Continue"/>
    <w:basedOn w:val="Normal"/>
    <w:uiPriority w:val="99"/>
    <w:unhideWhenUsed/>
    <w:rsid w:val="0029639D"/>
    <w:pPr>
      <w:spacing w:after="120"/>
      <w:ind w:left="360"/>
      <w:contextualSpacing/>
    </w:pPr>
    <w:rPr>
      <w:rFonts w:eastAsia="Noto Sans CJK KR"/>
    </w:rPr>
  </w:style>
  <w:style w:type="paragraph" w:styleId="ListContinue2">
    <w:name w:val="List Continue 2"/>
    <w:basedOn w:val="Normal"/>
    <w:uiPriority w:val="99"/>
    <w:unhideWhenUsed/>
    <w:rsid w:val="0029639D"/>
    <w:pPr>
      <w:spacing w:after="120"/>
      <w:ind w:left="720"/>
      <w:contextualSpacing/>
    </w:pPr>
    <w:rPr>
      <w:rFonts w:eastAsia="Noto Sans CJK KR"/>
    </w:rPr>
  </w:style>
  <w:style w:type="paragraph" w:styleId="ListContinue3">
    <w:name w:val="List Continue 3"/>
    <w:basedOn w:val="Normal"/>
    <w:uiPriority w:val="99"/>
    <w:unhideWhenUsed/>
    <w:rsid w:val="0029639D"/>
    <w:pPr>
      <w:spacing w:after="120"/>
      <w:ind w:left="1080"/>
      <w:contextualSpacing/>
    </w:pPr>
    <w:rPr>
      <w:rFonts w:eastAsia="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Noto Sans CJK KR"/>
      <w:sz w:val="20"/>
      <w:szCs w:val="20"/>
    </w:rPr>
  </w:style>
  <w:style w:type="character" w:customStyle="1" w:styleId="MacroTextChar">
    <w:name w:val="Macro Text Char"/>
    <w:basedOn w:val="DefaultParagraphFont"/>
    <w:link w:val="MacroText"/>
    <w:uiPriority w:val="99"/>
    <w:rsid w:val="0029639D"/>
    <w:rPr>
      <w:rFonts w:ascii="Courier" w:hAnsi="Courier" w:eastAsia="Noto Sans CJK KR"/>
      <w:sz w:val="20"/>
      <w:szCs w:val="20"/>
    </w:rPr>
  </w:style>
  <w:style w:type="paragraph" w:styleId="Quote">
    <w:name w:val="Quote"/>
    <w:basedOn w:val="Normal"/>
    <w:next w:val="Normal"/>
    <w:link w:val="QuoteChar"/>
    <w:uiPriority w:val="29"/>
    <w:qFormat/>
    <w:rsid w:val="00FC693F"/>
    <w:rPr>
      <w:rFonts w:eastAsia="Noto Sans CJK KR"/>
      <w:i/>
      <w:iCs/>
      <w:color w:val="000000" w:themeColor="text1"/>
    </w:rPr>
  </w:style>
  <w:style w:type="character" w:customStyle="1" w:styleId="QuoteChar">
    <w:name w:val="Quote Char"/>
    <w:basedOn w:val="DefaultParagraphFont"/>
    <w:link w:val="Quote"/>
    <w:uiPriority w:val="29"/>
    <w:rsid w:val="00FC693F"/>
    <w:rPr>
      <w:rFonts w:eastAsia="Noto Sans CJK K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Noto Sans CJK K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Noto Sans CJK KR"/>
      <w:b/>
      <w:bCs/>
      <w:color w:val="4F81BD" w:themeColor="accent1"/>
      <w:sz w:val="18"/>
      <w:szCs w:val="18"/>
    </w:rPr>
  </w:style>
  <w:style w:type="character" w:styleId="Strong">
    <w:name w:val="Strong"/>
    <w:basedOn w:val="DefaultParagraphFont"/>
    <w:uiPriority w:val="22"/>
    <w:qFormat/>
    <w:rsid w:val="00FC693F"/>
    <w:rPr>
      <w:rFonts w:eastAsia="Noto Sans CJK KR"/>
      <w:b/>
      <w:bCs/>
    </w:rPr>
  </w:style>
  <w:style w:type="character" w:styleId="Emphasis">
    <w:name w:val="Emphasis"/>
    <w:basedOn w:val="DefaultParagraphFont"/>
    <w:uiPriority w:val="20"/>
    <w:qFormat/>
    <w:rsid w:val="00FC693F"/>
    <w:rPr>
      <w:rFonts w:eastAsia="Noto Sans CJK K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Noto Sans CJK KR"/>
      <w:b/>
      <w:bCs/>
      <w:i/>
      <w:iCs/>
      <w:color w:val="4F81BD" w:themeColor="accent1"/>
    </w:rPr>
  </w:style>
  <w:style w:type="character" w:customStyle="1" w:styleId="IntenseQuoteChar">
    <w:name w:val="Intense Quote Char"/>
    <w:basedOn w:val="DefaultParagraphFont"/>
    <w:link w:val="IntenseQuote"/>
    <w:uiPriority w:val="30"/>
    <w:rsid w:val="00FC693F"/>
    <w:rPr>
      <w:rFonts w:eastAsia="Noto Sans CJK KR"/>
      <w:b/>
      <w:bCs/>
      <w:i/>
      <w:iCs/>
      <w:color w:val="4F81BD" w:themeColor="accent1"/>
    </w:rPr>
  </w:style>
  <w:style w:type="character" w:styleId="SubtleEmphasis">
    <w:name w:val="Subtle Emphasis"/>
    <w:basedOn w:val="DefaultParagraphFont"/>
    <w:uiPriority w:val="19"/>
    <w:qFormat/>
    <w:rsid w:val="00FC693F"/>
    <w:rPr>
      <w:rFonts w:eastAsia="Noto Sans CJK KR"/>
      <w:i/>
      <w:iCs/>
      <w:color w:val="808080" w:themeColor="text1" w:themeTint="7F"/>
    </w:rPr>
  </w:style>
  <w:style w:type="character" w:styleId="IntenseEmphasis">
    <w:name w:val="Intense Emphasis"/>
    <w:basedOn w:val="DefaultParagraphFont"/>
    <w:uiPriority w:val="21"/>
    <w:qFormat/>
    <w:rsid w:val="00FC693F"/>
    <w:rPr>
      <w:rFonts w:eastAsia="Noto Sans CJK KR"/>
      <w:b/>
      <w:bCs/>
      <w:i/>
      <w:iCs/>
      <w:color w:val="4F81BD" w:themeColor="accent1"/>
    </w:rPr>
  </w:style>
  <w:style w:type="character" w:styleId="SubtleReference">
    <w:name w:val="Subtle Reference"/>
    <w:basedOn w:val="DefaultParagraphFont"/>
    <w:uiPriority w:val="31"/>
    <w:qFormat/>
    <w:rsid w:val="00FC693F"/>
    <w:rPr>
      <w:rFonts w:eastAsia="Noto Sans CJK KR"/>
      <w:smallCaps/>
      <w:color w:val="C0504D" w:themeColor="accent2"/>
      <w:u w:val="single"/>
    </w:rPr>
  </w:style>
  <w:style w:type="character" w:styleId="IntenseReference">
    <w:name w:val="Intense Reference"/>
    <w:basedOn w:val="DefaultParagraphFont"/>
    <w:uiPriority w:val="32"/>
    <w:qFormat/>
    <w:rsid w:val="00FC693F"/>
    <w:rPr>
      <w:rFonts w:eastAsia="Noto Sans CJK KR"/>
      <w:b/>
      <w:bCs/>
      <w:smallCaps/>
      <w:color w:val="C0504D" w:themeColor="accent2"/>
      <w:spacing w:val="5"/>
      <w:u w:val="single"/>
    </w:rPr>
  </w:style>
  <w:style w:type="character" w:styleId="BookTitle">
    <w:name w:val="Book Title"/>
    <w:basedOn w:val="DefaultParagraphFont"/>
    <w:uiPriority w:val="33"/>
    <w:qFormat/>
    <w:rsid w:val="00FC693F"/>
    <w:rPr>
      <w:rFonts w:eastAsia="Noto Sans CJK KR"/>
      <w:b/>
      <w:bCs/>
      <w:smallCaps/>
      <w:spacing w:val="5"/>
    </w:rPr>
  </w:style>
  <w:style w:type="paragraph" w:styleId="TOCHeading">
    <w:name w:val="TOC Heading"/>
    <w:basedOn w:val="Heading1"/>
    <w:next w:val="Normal"/>
    <w:uiPriority w:val="39"/>
    <w:semiHidden/>
    <w:unhideWhenUsed/>
    <w:qFormat/>
    <w:rsid w:val="00FC693F"/>
    <w:pPr>
      <w:outlineLvl w:val="9"/>
    </w:pPr>
    <w:rPr>
      <w:rFonts w:eastAsia="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140"/>
    </w:pPr>
    <w:rPr>
      <w:rFonts w:eastAsia="Noto Sans CJK KR"/>
      <w:color w:val="56636A"/>
      <w:sz w:val="16"/>
    </w:rPr>
  </w:style>
  <w:style w:type="paragraph" w:customStyle="1" w:styleId="Note">
    <w:name w:val="Note"/>
    <w:basedOn w:val="Normal"/>
    <w:pPr>
      <w:spacing w:after="140"/>
    </w:pPr>
    <w:rPr>
      <w:rFonts w:eastAsia="Noto Sans CJK KR"/>
      <w:color w:val="5663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ipc.go.kr/np/cop/bbs/selectBoardArticle.do?bbsId=BS217&amp;mCode=D010030020&amp;nttId=12018" TargetMode="External"/><Relationship Id="rId12" Type="http://schemas.openxmlformats.org/officeDocument/2006/relationships/hyperlink" Target="https://resend.com/legal/dpa" TargetMode="External"/><Relationship Id="rId13" Type="http://schemas.openxmlformats.org/officeDocument/2006/relationships/hyperlink" Target="https://supabase.com/legal/customer-resources/data-processing-addendum" TargetMode="External"/><Relationship Id="rId14" Type="http://schemas.openxmlformats.org/officeDocument/2006/relationships/hyperlink" Target="https://supabase.com/docs/guides/self-ho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SoulTrace &amp; Eternal Beam Privacy Policy — TVA local-storage draft</dc:title>
  <dc:subject>Company-information completion and proposed operating limits</dc:subject>
  <dc:creator>tva ltd</dc:creator>
  <cp:keywords>SoulTrace, Eternal Beam, privacy, consent, revised draft</cp:keywords>
  <dc:description>Draft: requires operational verification and jurisdiction-specific review before publication.</dc:description>
  <cp:lastModifiedBy>tva ltd</cp:lastModifiedBy>
  <cp:revision>1</cp:revision>
  <dcterms:created xsi:type="dcterms:W3CDTF">2013-12-23T23:15:00Z</dcterms:created>
  <dcterms:modified xsi:type="dcterms:W3CDTF">2013-12-23T23:15:00Z</dcterms:modified>
  <cp:category/>
</cp:coreProperties>
</file>