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900"/>
        <w:jc w:val="center"/>
      </w:pPr>
      <w:r>
        <w:rPr>
          <w:b/>
          <w:color w:val="0B5CA8"/>
          <w:sz w:val="36"/>
        </w:rPr>
        <w:t>sealingAI</w:t>
      </w:r>
    </w:p>
    <w:p>
      <w:pPr>
        <w:pStyle w:val="Title"/>
        <w:jc w:val="center"/>
      </w:pPr>
      <w:r>
        <w:t>Strategisches Leitbild,</w:t>
        <w:br/>
        <w:t>Produktkonzept und Zielarchitektur</w:t>
      </w:r>
    </w:p>
    <w:p>
      <w:pPr>
        <w:pStyle w:val="Subtitle"/>
        <w:jc w:val="center"/>
      </w:pPr>
      <w:r>
        <w:t>Single Source of Truth für Produkt, Architektur, KI, Daten, Website, Inhalte, Governance und Marktentwicklung</w:t>
      </w:r>
    </w:p>
    <w:tbl>
      <w:tblPr>
        <w:tblW w:type="auto" w:w="0"/>
        <w:jc w:val="center"/>
        <w:tblLook w:firstColumn="1" w:firstRow="1" w:lastColumn="0" w:lastRow="0" w:noHBand="0" w:noVBand="1" w:val="04A0"/>
      </w:tblPr>
      <w:tblGrid>
        <w:gridCol w:w="9859"/>
      </w:tblGrid>
      <w:tr>
        <w:tc>
          <w:tcPr>
            <w:tcW w:type="dxa" w:w="9859"/>
            <w:shd w:fill="D6E4F0"/>
            <w:tcMar>
              <w:top w:w="150" w:type="dxa"/>
              <w:start w:w="170" w:type="dxa"/>
              <w:bottom w:w="150" w:type="dxa"/>
              <w:end w:w="170" w:type="dxa"/>
            </w:tcMar>
          </w:tcPr>
          <w:p>
            <w:r>
              <w:rPr>
                <w:b/>
                <w:color w:val="002A5B"/>
                <w:sz w:val="21"/>
              </w:rPr>
              <w:t>Verbindlicher Status</w:t>
            </w:r>
            <w:r>
              <w:br/>
              <w:t>Version 2.0 · Stand 10. Juli 2026 · RATIFIZIERTE SSoT</w:t>
              <w:br/>
              <w:t>Dieses Dokument ersetzt die strategischen Aussagen der Version 1.0 und konsolidiert Leitbild, Zielarchitektur, Challenge, Gegenprüfung und die Änderungsliste M1–M16. Bestehende strengere Safety-, Security-, Tenant-, Kernel-, Quellen- und Release-Invarianten im Repository bleiben wirksam, bis sie ausdrücklich und kontrolliert in diese SSoT überführt oder durch eine formale ADR ersetzt werden.</w:t>
            </w:r>
          </w:p>
        </w:tc>
      </w:tr>
    </w:tbl>
    <w:p/>
    <w:p>
      <w:pPr>
        <w:pStyle w:val="Quote"/>
        <w:jc w:val="center"/>
      </w:pPr>
      <w:r>
        <w:t>Aus Dichtungsfragen werden prüfbare Dichtungsfälle.</w:t>
      </w:r>
    </w:p>
    <w:p>
      <w:pPr>
        <w:pStyle w:val="Lead"/>
        <w:jc w:val="center"/>
      </w:pPr>
      <w:r>
        <w:t>Dichtungstechnik. Von der Frage zur prüfbaren Entscheidung.</w:t>
      </w:r>
    </w:p>
    <w:p>
      <w:pPr>
        <w:pStyle w:val="Small"/>
        <w:jc w:val="center"/>
      </w:pPr>
      <w:r>
        <w:t>Internes Steuerungsdokument. Keine technische Freigabe, Rechtsberatung oder Normenwiedergabe.</w:t>
      </w:r>
    </w:p>
    <w:p>
      <w:r>
        <w:br w:type="page"/>
      </w:r>
    </w:p>
    <w:p>
      <w:pPr>
        <w:pStyle w:val="Heading1"/>
      </w:pPr>
      <w:r>
        <w:t>0. Dokumentstatus, Autorität und Gebrauch</w:t>
      </w:r>
    </w:p>
    <w:p>
      <w:pPr>
        <w:pStyle w:val="Heading2"/>
      </w:pPr>
      <w:r>
        <w:t>0.1 Zweck</w:t>
      </w:r>
    </w:p>
    <w:p>
      <w:r>
        <w:t>Diese SSoT definiert verbindlich, welches Produkt sealingAI baut, welche Probleme es löst, wie es sich positioniert, welche fachlichen und technischen Grenzen gelten und nach welchen Regeln Architektur, Datenmodell, KI, Website, Inhalte, Herstellerökosystem und Geschäftsmodell weiterentwickelt werden.</w:t>
      </w:r>
    </w:p>
    <w:p>
      <w:r>
        <w:t>Jede neue Funktion, jeder Prompt, jedes Datenobjekt, jede Website-Seite, jede Herstellerfunktion und jede Architekturänderung muss gegen diese SSoT geprüft werden. Nicht passende Anforderungen werden abgelehnt, verschoben oder als formale Änderung dieser SSoT behandelt.</w:t>
      </w:r>
    </w:p>
    <w:p>
      <w:pPr>
        <w:pStyle w:val="Heading2"/>
      </w:pPr>
      <w:r>
        <w:t>0.2 Authority Order</w:t>
      </w:r>
    </w:p>
    <w:tbl>
      <w:tblPr>
        <w:tblStyle w:val="TableGrid"/>
        <w:tblW w:type="auto" w:w="0"/>
        <w:jc w:val="center"/>
        <w:tblLook w:firstColumn="1" w:firstRow="1" w:lastColumn="0" w:lastRow="0" w:noHBand="0" w:noVBand="1" w:val="04A0"/>
      </w:tblPr>
      <w:tblGrid>
        <w:gridCol w:w="3286"/>
        <w:gridCol w:w="3286"/>
        <w:gridCol w:w="3286"/>
      </w:tblGrid>
      <w:tr>
        <w:tc>
          <w:tcPr>
            <w:tcW w:type="dxa" w:w="737"/>
            <w:shd w:fill="17324D"/>
            <w:tcMar>
              <w:top w:w="90" w:type="dxa"/>
              <w:start w:w="90" w:type="dxa"/>
              <w:bottom w:w="90" w:type="dxa"/>
              <w:end w:w="90" w:type="dxa"/>
            </w:tcMar>
            <w:vAlign w:val="center"/>
          </w:tcPr>
          <w:p>
            <w:pPr>
              <w:jc w:val="left"/>
            </w:pPr>
            <w:r>
              <w:rPr>
                <w:b/>
                <w:color w:val="FFFFFF"/>
                <w:sz w:val="17"/>
              </w:rPr>
              <w:t>Rang</w:t>
            </w:r>
          </w:p>
        </w:tc>
        <w:tc>
          <w:tcPr>
            <w:tcW w:type="dxa" w:w="3572"/>
            <w:shd w:fill="17324D"/>
            <w:tcMar>
              <w:top w:w="90" w:type="dxa"/>
              <w:start w:w="90" w:type="dxa"/>
              <w:bottom w:w="90" w:type="dxa"/>
              <w:end w:w="90" w:type="dxa"/>
            </w:tcMar>
            <w:vAlign w:val="center"/>
          </w:tcPr>
          <w:p>
            <w:pPr>
              <w:jc w:val="left"/>
            </w:pPr>
            <w:r>
              <w:rPr>
                <w:b/>
                <w:color w:val="FFFFFF"/>
                <w:sz w:val="17"/>
              </w:rPr>
              <w:t>Quelle</w:t>
            </w:r>
          </w:p>
        </w:tc>
        <w:tc>
          <w:tcPr>
            <w:tcW w:type="dxa" w:w="5102"/>
            <w:shd w:fill="17324D"/>
            <w:tcMar>
              <w:top w:w="90" w:type="dxa"/>
              <w:start w:w="90" w:type="dxa"/>
              <w:bottom w:w="90" w:type="dxa"/>
              <w:end w:w="90" w:type="dxa"/>
            </w:tcMar>
            <w:vAlign w:val="center"/>
          </w:tcPr>
          <w:p>
            <w:pPr>
              <w:jc w:val="left"/>
            </w:pPr>
            <w:r>
              <w:rPr>
                <w:b/>
                <w:color w:val="FFFFFF"/>
                <w:sz w:val="17"/>
              </w:rPr>
              <w:t>Bedeutung</w:t>
            </w:r>
          </w:p>
        </w:tc>
      </w:tr>
      <w:tr>
        <w:trPr>
          <w:trHeight w:hRule="atLeast"/>
        </w:trPr>
        <w:tc>
          <w:tcPr>
            <w:tcW w:type="dxa" w:w="737"/>
            <w:tcMar>
              <w:top w:w="90" w:type="dxa"/>
              <w:start w:w="90" w:type="dxa"/>
              <w:bottom w:w="90" w:type="dxa"/>
              <w:end w:w="90" w:type="dxa"/>
            </w:tcMar>
            <w:vAlign w:val="top"/>
          </w:tcPr>
          <w:p>
            <w:r>
              <w:rPr>
                <w:b/>
                <w:color w:val="002A5B"/>
                <w:sz w:val="17"/>
              </w:rPr>
              <w:t>1</w:t>
            </w:r>
          </w:p>
        </w:tc>
        <w:tc>
          <w:tcPr>
            <w:tcW w:type="dxa" w:w="3572"/>
            <w:tcMar>
              <w:top w:w="90" w:type="dxa"/>
              <w:start w:w="90" w:type="dxa"/>
              <w:bottom w:w="90" w:type="dxa"/>
              <w:end w:w="90" w:type="dxa"/>
            </w:tcMar>
            <w:vAlign w:val="top"/>
          </w:tcPr>
          <w:p>
            <w:r>
              <w:rPr>
                <w:sz w:val="17"/>
              </w:rPr>
              <w:t>Gesetze, verbindliche regulatorische Anforderungen, Verträge und Lizenzbedingungen</w:t>
            </w:r>
          </w:p>
        </w:tc>
        <w:tc>
          <w:tcPr>
            <w:tcW w:type="dxa" w:w="5102"/>
            <w:tcMar>
              <w:top w:w="90" w:type="dxa"/>
              <w:start w:w="90" w:type="dxa"/>
              <w:bottom w:w="90" w:type="dxa"/>
              <w:end w:w="90" w:type="dxa"/>
            </w:tcMar>
            <w:vAlign w:val="top"/>
          </w:tcPr>
          <w:p>
            <w:r>
              <w:rPr>
                <w:sz w:val="17"/>
              </w:rPr>
              <w:t>Externe Pflicht; kann durch interne Dokumente nicht aufgehoben werden.</w:t>
            </w:r>
          </w:p>
        </w:tc>
      </w:tr>
      <w:tr>
        <w:trPr>
          <w:trHeight w:hRule="atLeast"/>
        </w:trPr>
        <w:tc>
          <w:tcPr>
            <w:tcW w:type="dxa" w:w="737"/>
            <w:tcMar>
              <w:top w:w="90" w:type="dxa"/>
              <w:start w:w="90" w:type="dxa"/>
              <w:bottom w:w="90" w:type="dxa"/>
              <w:end w:w="90" w:type="dxa"/>
            </w:tcMar>
            <w:vAlign w:val="top"/>
          </w:tcPr>
          <w:p>
            <w:r>
              <w:rPr>
                <w:b/>
                <w:color w:val="002A5B"/>
                <w:sz w:val="17"/>
              </w:rPr>
              <w:t>2</w:t>
            </w:r>
          </w:p>
        </w:tc>
        <w:tc>
          <w:tcPr>
            <w:tcW w:type="dxa" w:w="3572"/>
            <w:tcMar>
              <w:top w:w="90" w:type="dxa"/>
              <w:start w:w="90" w:type="dxa"/>
              <w:bottom w:w="90" w:type="dxa"/>
              <w:end w:w="90" w:type="dxa"/>
            </w:tcMar>
            <w:vAlign w:val="top"/>
          </w:tcPr>
          <w:p>
            <w:r>
              <w:rPr>
                <w:sz w:val="17"/>
              </w:rPr>
              <w:t>Diese sealingAI SSoT v2.0</w:t>
            </w:r>
          </w:p>
        </w:tc>
        <w:tc>
          <w:tcPr>
            <w:tcW w:type="dxa" w:w="5102"/>
            <w:tcMar>
              <w:top w:w="90" w:type="dxa"/>
              <w:start w:w="90" w:type="dxa"/>
              <w:bottom w:w="90" w:type="dxa"/>
              <w:end w:w="90" w:type="dxa"/>
            </w:tcMar>
            <w:vAlign w:val="top"/>
          </w:tcPr>
          <w:p>
            <w:r>
              <w:rPr>
                <w:sz w:val="17"/>
              </w:rPr>
              <w:t>Verbindliche Produkt-, Governance- und Zielarchitektur.</w:t>
            </w:r>
          </w:p>
        </w:tc>
      </w:tr>
      <w:tr>
        <w:trPr>
          <w:trHeight w:hRule="atLeast"/>
        </w:trPr>
        <w:tc>
          <w:tcPr>
            <w:tcW w:type="dxa" w:w="737"/>
            <w:tcMar>
              <w:top w:w="90" w:type="dxa"/>
              <w:start w:w="90" w:type="dxa"/>
              <w:bottom w:w="90" w:type="dxa"/>
              <w:end w:w="90" w:type="dxa"/>
            </w:tcMar>
            <w:vAlign w:val="top"/>
          </w:tcPr>
          <w:p>
            <w:r>
              <w:rPr>
                <w:b/>
                <w:color w:val="002A5B"/>
                <w:sz w:val="17"/>
              </w:rPr>
              <w:t>3</w:t>
            </w:r>
          </w:p>
        </w:tc>
        <w:tc>
          <w:tcPr>
            <w:tcW w:type="dxa" w:w="3572"/>
            <w:tcMar>
              <w:top w:w="90" w:type="dxa"/>
              <w:start w:w="90" w:type="dxa"/>
              <w:bottom w:w="90" w:type="dxa"/>
              <w:end w:w="90" w:type="dxa"/>
            </w:tcMar>
            <w:vAlign w:val="top"/>
          </w:tcPr>
          <w:p>
            <w:r>
              <w:rPr>
                <w:sz w:val="17"/>
              </w:rPr>
              <w:t>Ratifizierte Invarianten, ADRs und Sicherheitsverträge</w:t>
            </w:r>
          </w:p>
        </w:tc>
        <w:tc>
          <w:tcPr>
            <w:tcW w:type="dxa" w:w="5102"/>
            <w:tcMar>
              <w:top w:w="90" w:type="dxa"/>
              <w:start w:w="90" w:type="dxa"/>
              <w:bottom w:w="90" w:type="dxa"/>
              <w:end w:w="90" w:type="dxa"/>
            </w:tcMar>
            <w:vAlign w:val="top"/>
          </w:tcPr>
          <w:p>
            <w:r>
              <w:rPr>
                <w:sz w:val="17"/>
              </w:rPr>
              <w:t>Konkretisieren die SSoT; strengere Schutzregeln bleiben wirksam.</w:t>
            </w:r>
          </w:p>
        </w:tc>
      </w:tr>
      <w:tr>
        <w:trPr>
          <w:trHeight w:hRule="atLeast"/>
        </w:trPr>
        <w:tc>
          <w:tcPr>
            <w:tcW w:type="dxa" w:w="737"/>
            <w:tcMar>
              <w:top w:w="90" w:type="dxa"/>
              <w:start w:w="90" w:type="dxa"/>
              <w:bottom w:w="90" w:type="dxa"/>
              <w:end w:w="90" w:type="dxa"/>
            </w:tcMar>
            <w:vAlign w:val="top"/>
          </w:tcPr>
          <w:p>
            <w:r>
              <w:rPr>
                <w:b/>
                <w:color w:val="002A5B"/>
                <w:sz w:val="17"/>
              </w:rPr>
              <w:t>4</w:t>
            </w:r>
          </w:p>
        </w:tc>
        <w:tc>
          <w:tcPr>
            <w:tcW w:type="dxa" w:w="3572"/>
            <w:tcMar>
              <w:top w:w="90" w:type="dxa"/>
              <w:start w:w="90" w:type="dxa"/>
              <w:bottom w:w="90" w:type="dxa"/>
              <w:end w:w="90" w:type="dxa"/>
            </w:tcMar>
            <w:vAlign w:val="top"/>
          </w:tcPr>
          <w:p>
            <w:r>
              <w:rPr>
                <w:sz w:val="17"/>
              </w:rPr>
              <w:t>Build-Specs, Datenverträge, API-/SSE-Schemas und Eval-Rubriken</w:t>
            </w:r>
          </w:p>
        </w:tc>
        <w:tc>
          <w:tcPr>
            <w:tcW w:type="dxa" w:w="5102"/>
            <w:tcMar>
              <w:top w:w="90" w:type="dxa"/>
              <w:start w:w="90" w:type="dxa"/>
              <w:bottom w:w="90" w:type="dxa"/>
              <w:end w:w="90" w:type="dxa"/>
            </w:tcMar>
            <w:vAlign w:val="top"/>
          </w:tcPr>
          <w:p>
            <w:r>
              <w:rPr>
                <w:sz w:val="17"/>
              </w:rPr>
              <w:t>Ausführbare Umsetzungsvorgaben.</w:t>
            </w:r>
          </w:p>
        </w:tc>
      </w:tr>
      <w:tr>
        <w:trPr>
          <w:trHeight w:hRule="atLeast"/>
        </w:trPr>
        <w:tc>
          <w:tcPr>
            <w:tcW w:type="dxa" w:w="737"/>
            <w:tcMar>
              <w:top w:w="90" w:type="dxa"/>
              <w:start w:w="90" w:type="dxa"/>
              <w:bottom w:w="90" w:type="dxa"/>
              <w:end w:w="90" w:type="dxa"/>
            </w:tcMar>
            <w:vAlign w:val="top"/>
          </w:tcPr>
          <w:p>
            <w:r>
              <w:rPr>
                <w:b/>
                <w:color w:val="002A5B"/>
                <w:sz w:val="17"/>
              </w:rPr>
              <w:t>5</w:t>
            </w:r>
          </w:p>
        </w:tc>
        <w:tc>
          <w:tcPr>
            <w:tcW w:type="dxa" w:w="3572"/>
            <w:tcMar>
              <w:top w:w="90" w:type="dxa"/>
              <w:start w:w="90" w:type="dxa"/>
              <w:bottom w:w="90" w:type="dxa"/>
              <w:end w:w="90" w:type="dxa"/>
            </w:tcMar>
            <w:vAlign w:val="top"/>
          </w:tcPr>
          <w:p>
            <w:r>
              <w:rPr>
                <w:sz w:val="17"/>
              </w:rPr>
              <w:t>Tests, CI/CD-Gates und Produktionsrunbooks</w:t>
            </w:r>
          </w:p>
        </w:tc>
        <w:tc>
          <w:tcPr>
            <w:tcW w:type="dxa" w:w="5102"/>
            <w:tcMar>
              <w:top w:w="90" w:type="dxa"/>
              <w:start w:w="90" w:type="dxa"/>
              <w:bottom w:w="90" w:type="dxa"/>
              <w:end w:w="90" w:type="dxa"/>
            </w:tcMar>
            <w:vAlign w:val="top"/>
          </w:tcPr>
          <w:p>
            <w:r>
              <w:rPr>
                <w:sz w:val="17"/>
              </w:rPr>
              <w:t>Beweisen und erzwingen die Umsetzung.</w:t>
            </w:r>
          </w:p>
        </w:tc>
      </w:tr>
      <w:tr>
        <w:trPr>
          <w:trHeight w:hRule="atLeast"/>
        </w:trPr>
        <w:tc>
          <w:tcPr>
            <w:tcW w:type="dxa" w:w="737"/>
            <w:tcMar>
              <w:top w:w="90" w:type="dxa"/>
              <w:start w:w="90" w:type="dxa"/>
              <w:bottom w:w="90" w:type="dxa"/>
              <w:end w:w="90" w:type="dxa"/>
            </w:tcMar>
            <w:vAlign w:val="top"/>
          </w:tcPr>
          <w:p>
            <w:r>
              <w:rPr>
                <w:b/>
                <w:color w:val="002A5B"/>
                <w:sz w:val="17"/>
              </w:rPr>
              <w:t>6</w:t>
            </w:r>
          </w:p>
        </w:tc>
        <w:tc>
          <w:tcPr>
            <w:tcW w:type="dxa" w:w="3572"/>
            <w:tcMar>
              <w:top w:w="90" w:type="dxa"/>
              <w:start w:w="90" w:type="dxa"/>
              <w:bottom w:w="90" w:type="dxa"/>
              <w:end w:w="90" w:type="dxa"/>
            </w:tcMar>
            <w:vAlign w:val="top"/>
          </w:tcPr>
          <w:p>
            <w:r>
              <w:rPr>
                <w:sz w:val="17"/>
              </w:rPr>
              <w:t>Implementierung</w:t>
            </w:r>
          </w:p>
        </w:tc>
        <w:tc>
          <w:tcPr>
            <w:tcW w:type="dxa" w:w="5102"/>
            <w:tcMar>
              <w:top w:w="90" w:type="dxa"/>
              <w:start w:w="90" w:type="dxa"/>
              <w:bottom w:w="90" w:type="dxa"/>
              <w:end w:w="90" w:type="dxa"/>
            </w:tcMar>
            <w:vAlign w:val="top"/>
          </w:tcPr>
          <w:p>
            <w:r>
              <w:rPr>
                <w:sz w:val="17"/>
              </w:rPr>
              <w:t>Muss den höheren Ebenen entsprechen.</w:t>
            </w:r>
          </w:p>
        </w:tc>
      </w:tr>
      <w:tr>
        <w:trPr>
          <w:trHeight w:hRule="atLeast"/>
        </w:trPr>
        <w:tc>
          <w:tcPr>
            <w:tcW w:type="dxa" w:w="737"/>
            <w:tcMar>
              <w:top w:w="90" w:type="dxa"/>
              <w:start w:w="90" w:type="dxa"/>
              <w:bottom w:w="90" w:type="dxa"/>
              <w:end w:w="90" w:type="dxa"/>
            </w:tcMar>
            <w:vAlign w:val="top"/>
          </w:tcPr>
          <w:p>
            <w:r>
              <w:rPr>
                <w:b/>
                <w:color w:val="002A5B"/>
                <w:sz w:val="17"/>
              </w:rPr>
              <w:t>7</w:t>
            </w:r>
          </w:p>
        </w:tc>
        <w:tc>
          <w:tcPr>
            <w:tcW w:type="dxa" w:w="3572"/>
            <w:tcMar>
              <w:top w:w="90" w:type="dxa"/>
              <w:start w:w="90" w:type="dxa"/>
              <w:bottom w:w="90" w:type="dxa"/>
              <w:end w:w="90" w:type="dxa"/>
            </w:tcMar>
            <w:vAlign w:val="top"/>
          </w:tcPr>
          <w:p>
            <w:r>
              <w:rPr>
                <w:sz w:val="17"/>
              </w:rPr>
              <w:t>Historische Konzepte, Audits, Screenshots und Diskussionen</w:t>
            </w:r>
          </w:p>
        </w:tc>
        <w:tc>
          <w:tcPr>
            <w:tcW w:type="dxa" w:w="5102"/>
            <w:tcMar>
              <w:top w:w="90" w:type="dxa"/>
              <w:start w:w="90" w:type="dxa"/>
              <w:bottom w:w="90" w:type="dxa"/>
              <w:end w:w="90" w:type="dxa"/>
            </w:tcMar>
            <w:vAlign w:val="top"/>
          </w:tcPr>
          <w:p>
            <w:r>
              <w:rPr>
                <w:sz w:val="17"/>
              </w:rPr>
              <w:t>Kontext, aber nicht normativ.</w:t>
            </w:r>
          </w:p>
        </w:tc>
      </w:tr>
    </w:tbl>
    <w:p/>
    <w:tbl>
      <w:tblPr>
        <w:tblW w:type="auto" w:w="0"/>
        <w:jc w:val="center"/>
        <w:tblLook w:firstColumn="1" w:firstRow="1" w:lastColumn="0" w:lastRow="0" w:noHBand="0" w:noVBand="1" w:val="04A0"/>
      </w:tblPr>
      <w:tblGrid>
        <w:gridCol w:w="9859"/>
      </w:tblGrid>
      <w:tr>
        <w:tc>
          <w:tcPr>
            <w:tcW w:type="dxa" w:w="9859"/>
            <w:shd w:fill="EAF2F8"/>
            <w:tcMar>
              <w:top w:w="150" w:type="dxa"/>
              <w:start w:w="170" w:type="dxa"/>
              <w:bottom w:w="150" w:type="dxa"/>
              <w:end w:w="170" w:type="dxa"/>
            </w:tcMar>
          </w:tcPr>
          <w:p>
            <w:r>
              <w:rPr>
                <w:b/>
                <w:color w:val="002A5B"/>
                <w:sz w:val="21"/>
              </w:rPr>
              <w:t>Konfliktregel</w:t>
            </w:r>
            <w:r>
              <w:br/>
              <w:t>Bei Widersprüchen gilt die höher priorisierte Quelle. Konflikte werden nicht stillschweigend durch Code oder Prompt gelöst, sondern in einem ADR beziehungsweise Owner-Decision-Record dokumentiert. Kein Agent darf eine Safety-, Tenant-, Kernel-, Quellen-, Neutralitäts- oder Freigabeinvariante eigenständig abschwächen.</w:t>
            </w:r>
          </w:p>
        </w:tc>
      </w:tr>
    </w:tbl>
    <w:p/>
    <w:p>
      <w:pPr>
        <w:pStyle w:val="Heading2"/>
      </w:pPr>
      <w:r>
        <w:t>0.3 Supersession</w:t>
      </w:r>
    </w:p>
    <w:p>
      <w:r>
        <w:t>Diese Version ersetzt die strategische Version 1.0. Sie übernimmt deren fachliche 360°-Vision, präzisiert aber die heutige Positionierung, die Reifegrade, die Governance und die Aktivierungsgates. Die neue SSoT hebt keine bereits strengeren Schutzmechanismen im Repository automatisch auf.</w:t>
      </w:r>
    </w:p>
    <w:p>
      <w:pPr>
        <w:pStyle w:val="Heading2"/>
      </w:pPr>
      <w:r>
        <w:t>0.4 Provenienzklassen für Aussagen</w:t>
      </w:r>
    </w:p>
    <w:tbl>
      <w:tblPr>
        <w:tblStyle w:val="TableGrid"/>
        <w:tblW w:type="auto" w:w="0"/>
        <w:jc w:val="center"/>
        <w:tblLook w:firstColumn="1" w:firstRow="1" w:lastColumn="0" w:lastRow="0" w:noHBand="0" w:noVBand="1" w:val="04A0"/>
      </w:tblPr>
      <w:tblGrid>
        <w:gridCol w:w="3286"/>
        <w:gridCol w:w="3286"/>
        <w:gridCol w:w="3286"/>
      </w:tblGrid>
      <w:tr>
        <w:tc>
          <w:tcPr>
            <w:tcW w:type="dxa" w:w="1814"/>
            <w:shd w:fill="17324D"/>
            <w:tcMar>
              <w:top w:w="90" w:type="dxa"/>
              <w:start w:w="90" w:type="dxa"/>
              <w:bottom w:w="90" w:type="dxa"/>
              <w:end w:w="90" w:type="dxa"/>
            </w:tcMar>
            <w:vAlign w:val="center"/>
          </w:tcPr>
          <w:p>
            <w:pPr>
              <w:jc w:val="left"/>
            </w:pPr>
            <w:r>
              <w:rPr>
                <w:b/>
                <w:color w:val="FFFFFF"/>
                <w:sz w:val="17"/>
              </w:rPr>
              <w:t>Klasse</w:t>
            </w:r>
          </w:p>
        </w:tc>
        <w:tc>
          <w:tcPr>
            <w:tcW w:type="dxa" w:w="3969"/>
            <w:shd w:fill="17324D"/>
            <w:tcMar>
              <w:top w:w="90" w:type="dxa"/>
              <w:start w:w="90" w:type="dxa"/>
              <w:bottom w:w="90" w:type="dxa"/>
              <w:end w:w="90" w:type="dxa"/>
            </w:tcMar>
            <w:vAlign w:val="center"/>
          </w:tcPr>
          <w:p>
            <w:pPr>
              <w:jc w:val="left"/>
            </w:pPr>
            <w:r>
              <w:rPr>
                <w:b/>
                <w:color w:val="FFFFFF"/>
                <w:sz w:val="17"/>
              </w:rPr>
              <w:t>Bedeutung</w:t>
            </w:r>
          </w:p>
        </w:tc>
        <w:tc>
          <w:tcPr>
            <w:tcW w:type="dxa" w:w="3628"/>
            <w:shd w:fill="17324D"/>
            <w:tcMar>
              <w:top w:w="90" w:type="dxa"/>
              <w:start w:w="90" w:type="dxa"/>
              <w:bottom w:w="90" w:type="dxa"/>
              <w:end w:w="90" w:type="dxa"/>
            </w:tcMar>
            <w:vAlign w:val="center"/>
          </w:tcPr>
          <w:p>
            <w:pPr>
              <w:jc w:val="left"/>
            </w:pPr>
            <w:r>
              <w:rPr>
                <w:b/>
                <w:color w:val="FFFFFF"/>
                <w:sz w:val="17"/>
              </w:rPr>
              <w:t>Nutzung</w:t>
            </w:r>
          </w:p>
        </w:tc>
      </w:tr>
      <w:tr>
        <w:trPr>
          <w:trHeight w:hRule="atLeast"/>
        </w:trPr>
        <w:tc>
          <w:tcPr>
            <w:tcW w:type="dxa" w:w="1814"/>
            <w:tcMar>
              <w:top w:w="90" w:type="dxa"/>
              <w:start w:w="90" w:type="dxa"/>
              <w:bottom w:w="90" w:type="dxa"/>
              <w:end w:w="90" w:type="dxa"/>
            </w:tcMar>
            <w:vAlign w:val="top"/>
          </w:tcPr>
          <w:p>
            <w:r>
              <w:rPr>
                <w:b/>
                <w:color w:val="002A5B"/>
                <w:sz w:val="17"/>
              </w:rPr>
              <w:t>document_verified</w:t>
            </w:r>
          </w:p>
        </w:tc>
        <w:tc>
          <w:tcPr>
            <w:tcW w:type="dxa" w:w="3969"/>
            <w:tcMar>
              <w:top w:w="90" w:type="dxa"/>
              <w:start w:w="90" w:type="dxa"/>
              <w:bottom w:w="90" w:type="dxa"/>
              <w:end w:w="90" w:type="dxa"/>
            </w:tcMar>
            <w:vAlign w:val="top"/>
          </w:tcPr>
          <w:p>
            <w:r>
              <w:rPr>
                <w:sz w:val="17"/>
              </w:rPr>
              <w:t>Direkt in ratifizierter Dokumentation belegt</w:t>
            </w:r>
          </w:p>
        </w:tc>
        <w:tc>
          <w:tcPr>
            <w:tcW w:type="dxa" w:w="3628"/>
            <w:tcMar>
              <w:top w:w="90" w:type="dxa"/>
              <w:start w:w="90" w:type="dxa"/>
              <w:bottom w:w="90" w:type="dxa"/>
              <w:end w:w="90" w:type="dxa"/>
            </w:tcMar>
            <w:vAlign w:val="top"/>
          </w:tcPr>
          <w:p>
            <w:r>
              <w:rPr>
                <w:sz w:val="17"/>
              </w:rPr>
              <w:t>Normative Aussagen und Entscheidungen</w:t>
            </w:r>
          </w:p>
        </w:tc>
      </w:tr>
      <w:tr>
        <w:trPr>
          <w:trHeight w:hRule="atLeast"/>
        </w:trPr>
        <w:tc>
          <w:tcPr>
            <w:tcW w:type="dxa" w:w="1814"/>
            <w:tcMar>
              <w:top w:w="90" w:type="dxa"/>
              <w:start w:w="90" w:type="dxa"/>
              <w:bottom w:w="90" w:type="dxa"/>
              <w:end w:w="90" w:type="dxa"/>
            </w:tcMar>
            <w:vAlign w:val="top"/>
          </w:tcPr>
          <w:p>
            <w:r>
              <w:rPr>
                <w:b/>
                <w:color w:val="002A5B"/>
                <w:sz w:val="17"/>
              </w:rPr>
              <w:t>repository_verified</w:t>
            </w:r>
          </w:p>
        </w:tc>
        <w:tc>
          <w:tcPr>
            <w:tcW w:type="dxa" w:w="3969"/>
            <w:tcMar>
              <w:top w:w="90" w:type="dxa"/>
              <w:start w:w="90" w:type="dxa"/>
              <w:bottom w:w="90" w:type="dxa"/>
              <w:end w:w="90" w:type="dxa"/>
            </w:tcMar>
            <w:vAlign w:val="top"/>
          </w:tcPr>
          <w:p>
            <w:r>
              <w:rPr>
                <w:sz w:val="17"/>
              </w:rPr>
              <w:t>Durch Code, Tests, Konfiguration oder Build belegt</w:t>
            </w:r>
          </w:p>
        </w:tc>
        <w:tc>
          <w:tcPr>
            <w:tcW w:type="dxa" w:w="3628"/>
            <w:tcMar>
              <w:top w:w="90" w:type="dxa"/>
              <w:start w:w="90" w:type="dxa"/>
              <w:bottom w:w="90" w:type="dxa"/>
              <w:end w:w="90" w:type="dxa"/>
            </w:tcMar>
            <w:vAlign w:val="top"/>
          </w:tcPr>
          <w:p>
            <w:r>
              <w:rPr>
                <w:sz w:val="17"/>
              </w:rPr>
              <w:t>Ist-Zustand der Implementierung</w:t>
            </w:r>
          </w:p>
        </w:tc>
      </w:tr>
      <w:tr>
        <w:trPr>
          <w:trHeight w:hRule="atLeast"/>
        </w:trPr>
        <w:tc>
          <w:tcPr>
            <w:tcW w:type="dxa" w:w="1814"/>
            <w:tcMar>
              <w:top w:w="90" w:type="dxa"/>
              <w:start w:w="90" w:type="dxa"/>
              <w:bottom w:w="90" w:type="dxa"/>
              <w:end w:w="90" w:type="dxa"/>
            </w:tcMar>
            <w:vAlign w:val="top"/>
          </w:tcPr>
          <w:p>
            <w:r>
              <w:rPr>
                <w:b/>
                <w:color w:val="002A5B"/>
                <w:sz w:val="17"/>
              </w:rPr>
              <w:t>public_source_verified</w:t>
            </w:r>
          </w:p>
        </w:tc>
        <w:tc>
          <w:tcPr>
            <w:tcW w:type="dxa" w:w="3969"/>
            <w:tcMar>
              <w:top w:w="90" w:type="dxa"/>
              <w:start w:w="90" w:type="dxa"/>
              <w:bottom w:w="90" w:type="dxa"/>
              <w:end w:w="90" w:type="dxa"/>
            </w:tcMar>
            <w:vAlign w:val="top"/>
          </w:tcPr>
          <w:p>
            <w:r>
              <w:rPr>
                <w:sz w:val="17"/>
              </w:rPr>
              <w:t>Durch belastbare externe Quelle belegt</w:t>
            </w:r>
          </w:p>
        </w:tc>
        <w:tc>
          <w:tcPr>
            <w:tcW w:type="dxa" w:w="3628"/>
            <w:tcMar>
              <w:top w:w="90" w:type="dxa"/>
              <w:start w:w="90" w:type="dxa"/>
              <w:bottom w:w="90" w:type="dxa"/>
              <w:end w:w="90" w:type="dxa"/>
            </w:tcMar>
            <w:vAlign w:val="top"/>
          </w:tcPr>
          <w:p>
            <w:r>
              <w:rPr>
                <w:sz w:val="17"/>
              </w:rPr>
              <w:t>Markt, Recht, Normenstatus, Branchenfakten</w:t>
            </w:r>
          </w:p>
        </w:tc>
      </w:tr>
      <w:tr>
        <w:trPr>
          <w:trHeight w:hRule="atLeast"/>
        </w:trPr>
        <w:tc>
          <w:tcPr>
            <w:tcW w:type="dxa" w:w="1814"/>
            <w:tcMar>
              <w:top w:w="90" w:type="dxa"/>
              <w:start w:w="90" w:type="dxa"/>
              <w:bottom w:w="90" w:type="dxa"/>
              <w:end w:w="90" w:type="dxa"/>
            </w:tcMar>
            <w:vAlign w:val="top"/>
          </w:tcPr>
          <w:p>
            <w:r>
              <w:rPr>
                <w:b/>
                <w:color w:val="002A5B"/>
                <w:sz w:val="17"/>
              </w:rPr>
              <w:t>owner_provided</w:t>
            </w:r>
          </w:p>
        </w:tc>
        <w:tc>
          <w:tcPr>
            <w:tcW w:type="dxa" w:w="3969"/>
            <w:tcMar>
              <w:top w:w="90" w:type="dxa"/>
              <w:start w:w="90" w:type="dxa"/>
              <w:bottom w:w="90" w:type="dxa"/>
              <w:end w:w="90" w:type="dxa"/>
            </w:tcMar>
            <w:vAlign w:val="top"/>
          </w:tcPr>
          <w:p>
            <w:r>
              <w:rPr>
                <w:sz w:val="17"/>
              </w:rPr>
              <w:t>Vom Owner bereitgestellt, aber nicht extern geprüft</w:t>
            </w:r>
          </w:p>
        </w:tc>
        <w:tc>
          <w:tcPr>
            <w:tcW w:type="dxa" w:w="3628"/>
            <w:tcMar>
              <w:top w:w="90" w:type="dxa"/>
              <w:start w:w="90" w:type="dxa"/>
              <w:bottom w:w="90" w:type="dxa"/>
              <w:end w:w="90" w:type="dxa"/>
            </w:tcMar>
            <w:vAlign w:val="top"/>
          </w:tcPr>
          <w:p>
            <w:r>
              <w:rPr>
                <w:sz w:val="17"/>
              </w:rPr>
              <w:t>Kapazität, persönliche Rahmenbedingungen, Geschäftsbeziehungen</w:t>
            </w:r>
          </w:p>
        </w:tc>
      </w:tr>
      <w:tr>
        <w:trPr>
          <w:trHeight w:hRule="atLeast"/>
        </w:trPr>
        <w:tc>
          <w:tcPr>
            <w:tcW w:type="dxa" w:w="1814"/>
            <w:tcMar>
              <w:top w:w="90" w:type="dxa"/>
              <w:start w:w="90" w:type="dxa"/>
              <w:bottom w:w="90" w:type="dxa"/>
              <w:end w:w="90" w:type="dxa"/>
            </w:tcMar>
            <w:vAlign w:val="top"/>
          </w:tcPr>
          <w:p>
            <w:r>
              <w:rPr>
                <w:b/>
                <w:color w:val="002A5B"/>
                <w:sz w:val="17"/>
              </w:rPr>
              <w:t>pilot_observed</w:t>
            </w:r>
          </w:p>
        </w:tc>
        <w:tc>
          <w:tcPr>
            <w:tcW w:type="dxa" w:w="3969"/>
            <w:tcMar>
              <w:top w:w="90" w:type="dxa"/>
              <w:start w:w="90" w:type="dxa"/>
              <w:bottom w:w="90" w:type="dxa"/>
              <w:end w:w="90" w:type="dxa"/>
            </w:tcMar>
            <w:vAlign w:val="top"/>
          </w:tcPr>
          <w:p>
            <w:r>
              <w:rPr>
                <w:sz w:val="17"/>
              </w:rPr>
              <w:t>In Pilot oder Produktion gemessen</w:t>
            </w:r>
          </w:p>
        </w:tc>
        <w:tc>
          <w:tcPr>
            <w:tcW w:type="dxa" w:w="3628"/>
            <w:tcMar>
              <w:top w:w="90" w:type="dxa"/>
              <w:start w:w="90" w:type="dxa"/>
              <w:bottom w:w="90" w:type="dxa"/>
              <w:end w:w="90" w:type="dxa"/>
            </w:tcMar>
            <w:vAlign w:val="top"/>
          </w:tcPr>
          <w:p>
            <w:r>
              <w:rPr>
                <w:sz w:val="17"/>
              </w:rPr>
              <w:t>Produktwirkung und KPIs</w:t>
            </w:r>
          </w:p>
        </w:tc>
      </w:tr>
      <w:tr>
        <w:trPr>
          <w:trHeight w:hRule="atLeast"/>
        </w:trPr>
        <w:tc>
          <w:tcPr>
            <w:tcW w:type="dxa" w:w="1814"/>
            <w:tcMar>
              <w:top w:w="90" w:type="dxa"/>
              <w:start w:w="90" w:type="dxa"/>
              <w:bottom w:w="90" w:type="dxa"/>
              <w:end w:w="90" w:type="dxa"/>
            </w:tcMar>
            <w:vAlign w:val="top"/>
          </w:tcPr>
          <w:p>
            <w:r>
              <w:rPr>
                <w:b/>
                <w:color w:val="002A5B"/>
                <w:sz w:val="17"/>
              </w:rPr>
              <w:t>assumption</w:t>
            </w:r>
          </w:p>
        </w:tc>
        <w:tc>
          <w:tcPr>
            <w:tcW w:type="dxa" w:w="3969"/>
            <w:tcMar>
              <w:top w:w="90" w:type="dxa"/>
              <w:start w:w="90" w:type="dxa"/>
              <w:bottom w:w="90" w:type="dxa"/>
              <w:end w:w="90" w:type="dxa"/>
            </w:tcMar>
            <w:vAlign w:val="top"/>
          </w:tcPr>
          <w:p>
            <w:r>
              <w:rPr>
                <w:sz w:val="17"/>
              </w:rPr>
              <w:t>Begründete Hypothese</w:t>
            </w:r>
          </w:p>
        </w:tc>
        <w:tc>
          <w:tcPr>
            <w:tcW w:type="dxa" w:w="3628"/>
            <w:tcMar>
              <w:top w:w="90" w:type="dxa"/>
              <w:start w:w="90" w:type="dxa"/>
              <w:bottom w:w="90" w:type="dxa"/>
              <w:end w:w="90" w:type="dxa"/>
            </w:tcMar>
            <w:vAlign w:val="top"/>
          </w:tcPr>
          <w:p>
            <w:r>
              <w:rPr>
                <w:sz w:val="17"/>
              </w:rPr>
              <w:t>Muss sichtbar bleiben und validiert werden</w:t>
            </w:r>
          </w:p>
        </w:tc>
      </w:tr>
      <w:tr>
        <w:trPr>
          <w:trHeight w:hRule="atLeast"/>
        </w:trPr>
        <w:tc>
          <w:tcPr>
            <w:tcW w:type="dxa" w:w="1814"/>
            <w:tcMar>
              <w:top w:w="90" w:type="dxa"/>
              <w:start w:w="90" w:type="dxa"/>
              <w:bottom w:w="90" w:type="dxa"/>
              <w:end w:w="90" w:type="dxa"/>
            </w:tcMar>
            <w:vAlign w:val="top"/>
          </w:tcPr>
          <w:p>
            <w:r>
              <w:rPr>
                <w:b/>
                <w:color w:val="002A5B"/>
                <w:sz w:val="17"/>
              </w:rPr>
              <w:t>unknown</w:t>
            </w:r>
          </w:p>
        </w:tc>
        <w:tc>
          <w:tcPr>
            <w:tcW w:type="dxa" w:w="3969"/>
            <w:tcMar>
              <w:top w:w="90" w:type="dxa"/>
              <w:start w:w="90" w:type="dxa"/>
              <w:bottom w:w="90" w:type="dxa"/>
              <w:end w:w="90" w:type="dxa"/>
            </w:tcMar>
            <w:vAlign w:val="top"/>
          </w:tcPr>
          <w:p>
            <w:r>
              <w:rPr>
                <w:sz w:val="17"/>
              </w:rPr>
              <w:t>Nicht ausreichend belegt</w:t>
            </w:r>
          </w:p>
        </w:tc>
        <w:tc>
          <w:tcPr>
            <w:tcW w:type="dxa" w:w="3628"/>
            <w:tcMar>
              <w:top w:w="90" w:type="dxa"/>
              <w:start w:w="90" w:type="dxa"/>
              <w:bottom w:w="90" w:type="dxa"/>
              <w:end w:w="90" w:type="dxa"/>
            </w:tcMar>
            <w:vAlign w:val="top"/>
          </w:tcPr>
          <w:p>
            <w:r>
              <w:rPr>
                <w:sz w:val="17"/>
              </w:rPr>
              <w:t>Darf keine definitive Entscheidung tragen</w:t>
            </w:r>
          </w:p>
        </w:tc>
      </w:tr>
    </w:tbl>
    <w:p/>
    <w:p>
      <w:r>
        <w:br w:type="page"/>
      </w:r>
    </w:p>
    <w:p>
      <w:pPr>
        <w:pStyle w:val="Heading1"/>
      </w:pPr>
      <w:r>
        <w:t>1. Executive Summary</w:t>
      </w:r>
    </w:p>
    <w:p>
      <w:r>
        <w:t>sealingAI ist keine allgemeine Chatoberfläche und kein Preisvergleichsmarktplatz. sealingAI ist die herstellerneutrale Wissens-, Engineering- und Fallinfrastruktur für industrielle Dichtungstechnik. Die Plattform beantwortet einfache Fachfragen direkt und verwandelt anwendungsabhängige Fragen in strukturierte, quellenbasierte und prüfbare Dichtungsfälle.</w:t>
      </w:r>
    </w:p>
    <w:tbl>
      <w:tblPr>
        <w:tblW w:type="auto" w:w="0"/>
        <w:jc w:val="center"/>
        <w:tblLook w:firstColumn="1" w:firstRow="1" w:lastColumn="0" w:lastRow="0" w:noHBand="0" w:noVBand="1" w:val="04A0"/>
      </w:tblPr>
      <w:tblGrid>
        <w:gridCol w:w="9859"/>
      </w:tblGrid>
      <w:tr>
        <w:tc>
          <w:tcPr>
            <w:tcW w:type="dxa" w:w="9859"/>
            <w:shd w:fill="EAF2F8"/>
            <w:tcMar>
              <w:top w:w="150" w:type="dxa"/>
              <w:start w:w="170" w:type="dxa"/>
              <w:bottom w:w="150" w:type="dxa"/>
              <w:end w:w="170" w:type="dxa"/>
            </w:tcMar>
          </w:tcPr>
          <w:p>
            <w:r>
              <w:rPr>
                <w:b/>
                <w:color w:val="002A5B"/>
                <w:sz w:val="21"/>
              </w:rPr>
              <w:t>North Star</w:t>
            </w:r>
            <w:r>
              <w:br/>
              <w:t>sealingAI macht Dichtungstechnik anwendbar: von der Wissensfrage über Vergleich, Engineering und Schadensanalyse bis zur qualifizierten Hersteller- oder Expertenprüfung. Das System zeigt Datenlücken, Quellen, Geltungsbereiche, Unsicherheiten, Zielkonflikte und den fachlich richtigen nächsten Schritt. Die finale technische Freigabe bleibt beim zuständigen Fachverantwortlichen beziehungsweise Hersteller.</w:t>
            </w:r>
          </w:p>
        </w:tc>
      </w:tr>
    </w:tbl>
    <w:p/>
    <w:p>
      <w:pPr>
        <w:pStyle w:val="Heading2"/>
      </w:pPr>
      <w:r>
        <w:t>1.1 Positionierung</w:t>
      </w:r>
    </w:p>
    <w:tbl>
      <w:tblPr>
        <w:tblStyle w:val="TableGrid"/>
        <w:tblW w:type="auto" w:w="0"/>
        <w:jc w:val="center"/>
        <w:tblLook w:firstColumn="1" w:firstRow="1" w:lastColumn="0" w:lastRow="0" w:noHBand="0" w:noVBand="1" w:val="04A0"/>
      </w:tblPr>
      <w:tblGrid>
        <w:gridCol w:w="4929"/>
        <w:gridCol w:w="4929"/>
      </w:tblGrid>
      <w:tr>
        <w:tc>
          <w:tcPr>
            <w:tcW w:type="dxa" w:w="1928"/>
            <w:shd w:fill="17324D"/>
            <w:tcMar>
              <w:top w:w="90" w:type="dxa"/>
              <w:start w:w="90" w:type="dxa"/>
              <w:bottom w:w="90" w:type="dxa"/>
              <w:end w:w="90" w:type="dxa"/>
            </w:tcMar>
            <w:vAlign w:val="center"/>
          </w:tcPr>
          <w:p>
            <w:pPr>
              <w:jc w:val="left"/>
            </w:pPr>
            <w:r>
              <w:rPr>
                <w:b/>
                <w:color w:val="FFFFFF"/>
                <w:sz w:val="17"/>
              </w:rPr>
              <w:t>Ebene</w:t>
            </w:r>
          </w:p>
        </w:tc>
        <w:tc>
          <w:tcPr>
            <w:tcW w:type="dxa" w:w="7483"/>
            <w:shd w:fill="17324D"/>
            <w:tcMar>
              <w:top w:w="90" w:type="dxa"/>
              <w:start w:w="90" w:type="dxa"/>
              <w:bottom w:w="90" w:type="dxa"/>
              <w:end w:w="90" w:type="dxa"/>
            </w:tcMar>
            <w:vAlign w:val="center"/>
          </w:tcPr>
          <w:p>
            <w:pPr>
              <w:jc w:val="left"/>
            </w:pPr>
            <w:r>
              <w:rPr>
                <w:b/>
                <w:color w:val="FFFFFF"/>
                <w:sz w:val="17"/>
              </w:rPr>
              <w:t>Verbindliche Formulierung</w:t>
            </w:r>
          </w:p>
        </w:tc>
      </w:tr>
      <w:tr>
        <w:trPr>
          <w:trHeight w:hRule="atLeast"/>
        </w:trPr>
        <w:tc>
          <w:tcPr>
            <w:tcW w:type="dxa" w:w="1928"/>
            <w:tcMar>
              <w:top w:w="90" w:type="dxa"/>
              <w:start w:w="90" w:type="dxa"/>
              <w:bottom w:w="90" w:type="dxa"/>
              <w:end w:w="90" w:type="dxa"/>
            </w:tcMar>
            <w:vAlign w:val="top"/>
          </w:tcPr>
          <w:p>
            <w:r>
              <w:rPr>
                <w:b/>
                <w:color w:val="002A5B"/>
                <w:sz w:val="17"/>
              </w:rPr>
              <w:t>Kategorie</w:t>
            </w:r>
          </w:p>
        </w:tc>
        <w:tc>
          <w:tcPr>
            <w:tcW w:type="dxa" w:w="7483"/>
            <w:tcMar>
              <w:top w:w="90" w:type="dxa"/>
              <w:start w:w="90" w:type="dxa"/>
              <w:bottom w:w="90" w:type="dxa"/>
              <w:end w:w="90" w:type="dxa"/>
            </w:tcMar>
            <w:vAlign w:val="top"/>
          </w:tcPr>
          <w:p>
            <w:r>
              <w:rPr>
                <w:sz w:val="17"/>
              </w:rPr>
              <w:t>Sealing Intelligence – die digitale Wissens-, Engineering- und Fallinfrastruktur der industriellen Dichtungstechnik.</w:t>
            </w:r>
          </w:p>
        </w:tc>
      </w:tr>
      <w:tr>
        <w:trPr>
          <w:trHeight w:hRule="atLeast"/>
        </w:trPr>
        <w:tc>
          <w:tcPr>
            <w:tcW w:type="dxa" w:w="1928"/>
            <w:tcMar>
              <w:top w:w="90" w:type="dxa"/>
              <w:start w:w="90" w:type="dxa"/>
              <w:bottom w:w="90" w:type="dxa"/>
              <w:end w:w="90" w:type="dxa"/>
            </w:tcMar>
            <w:vAlign w:val="top"/>
          </w:tcPr>
          <w:p>
            <w:r>
              <w:rPr>
                <w:b/>
                <w:color w:val="002A5B"/>
                <w:sz w:val="17"/>
              </w:rPr>
              <w:t>Plattform-USP</w:t>
            </w:r>
          </w:p>
        </w:tc>
        <w:tc>
          <w:tcPr>
            <w:tcW w:type="dxa" w:w="7483"/>
            <w:tcMar>
              <w:top w:w="90" w:type="dxa"/>
              <w:start w:w="90" w:type="dxa"/>
              <w:bottom w:w="90" w:type="dxa"/>
              <w:end w:w="90" w:type="dxa"/>
            </w:tcMar>
            <w:vAlign w:val="top"/>
          </w:tcPr>
          <w:p>
            <w:r>
              <w:rPr>
                <w:sz w:val="17"/>
              </w:rPr>
              <w:t>Aus Dichtungsfragen werden prüfbare Dichtungsfälle.</w:t>
            </w:r>
          </w:p>
        </w:tc>
      </w:tr>
      <w:tr>
        <w:trPr>
          <w:trHeight w:hRule="atLeast"/>
        </w:trPr>
        <w:tc>
          <w:tcPr>
            <w:tcW w:type="dxa" w:w="1928"/>
            <w:tcMar>
              <w:top w:w="90" w:type="dxa"/>
              <w:start w:w="90" w:type="dxa"/>
              <w:bottom w:w="90" w:type="dxa"/>
              <w:end w:w="90" w:type="dxa"/>
            </w:tcMar>
            <w:vAlign w:val="top"/>
          </w:tcPr>
          <w:p>
            <w:r>
              <w:rPr>
                <w:b/>
                <w:color w:val="002A5B"/>
                <w:sz w:val="17"/>
              </w:rPr>
              <w:t>Mechanismus</w:t>
            </w:r>
          </w:p>
        </w:tc>
        <w:tc>
          <w:tcPr>
            <w:tcW w:type="dxa" w:w="7483"/>
            <w:tcMar>
              <w:top w:w="90" w:type="dxa"/>
              <w:start w:w="90" w:type="dxa"/>
              <w:bottom w:w="90" w:type="dxa"/>
              <w:end w:w="90" w:type="dxa"/>
            </w:tcMar>
            <w:vAlign w:val="top"/>
          </w:tcPr>
          <w:p>
            <w:r>
              <w:rPr>
                <w:sz w:val="17"/>
              </w:rPr>
              <w:t>Einfache Fragen erhalten direkte Antworten; anwendungsabhängige Fragen werden zu prüfbaren Fällen – mit sichtbaren Datenlücken, Quellen, Risiken und menschlicher Freigabe.</w:t>
            </w:r>
          </w:p>
        </w:tc>
      </w:tr>
      <w:tr>
        <w:trPr>
          <w:trHeight w:hRule="atLeast"/>
        </w:trPr>
        <w:tc>
          <w:tcPr>
            <w:tcW w:type="dxa" w:w="1928"/>
            <w:tcMar>
              <w:top w:w="90" w:type="dxa"/>
              <w:start w:w="90" w:type="dxa"/>
              <w:bottom w:w="90" w:type="dxa"/>
              <w:end w:w="90" w:type="dxa"/>
            </w:tcMar>
            <w:vAlign w:val="top"/>
          </w:tcPr>
          <w:p>
            <w:r>
              <w:rPr>
                <w:b/>
                <w:color w:val="002A5B"/>
                <w:sz w:val="17"/>
              </w:rPr>
              <w:t>Anwendernutzen</w:t>
            </w:r>
          </w:p>
        </w:tc>
        <w:tc>
          <w:tcPr>
            <w:tcW w:type="dxa" w:w="7483"/>
            <w:tcMar>
              <w:top w:w="90" w:type="dxa"/>
              <w:start w:w="90" w:type="dxa"/>
              <w:bottom w:w="90" w:type="dxa"/>
              <w:end w:w="90" w:type="dxa"/>
            </w:tcMar>
            <w:vAlign w:val="top"/>
          </w:tcPr>
          <w:p>
            <w:r>
              <w:rPr>
                <w:sz w:val="17"/>
              </w:rPr>
              <w:t>Schneller zu einer belastbaren Entscheidungsgrundlage und zur fachlich richtigen nächsten Aktion.</w:t>
            </w:r>
          </w:p>
        </w:tc>
      </w:tr>
      <w:tr>
        <w:trPr>
          <w:trHeight w:hRule="atLeast"/>
        </w:trPr>
        <w:tc>
          <w:tcPr>
            <w:tcW w:type="dxa" w:w="1928"/>
            <w:tcMar>
              <w:top w:w="90" w:type="dxa"/>
              <w:start w:w="90" w:type="dxa"/>
              <w:bottom w:w="90" w:type="dxa"/>
              <w:end w:w="90" w:type="dxa"/>
            </w:tcMar>
            <w:vAlign w:val="top"/>
          </w:tcPr>
          <w:p>
            <w:r>
              <w:rPr>
                <w:b/>
                <w:color w:val="002A5B"/>
                <w:sz w:val="17"/>
              </w:rPr>
              <w:t>Herstellernutzen</w:t>
            </w:r>
          </w:p>
        </w:tc>
        <w:tc>
          <w:tcPr>
            <w:tcW w:type="dxa" w:w="7483"/>
            <w:tcMar>
              <w:top w:w="90" w:type="dxa"/>
              <w:start w:w="90" w:type="dxa"/>
              <w:bottom w:w="90" w:type="dxa"/>
              <w:end w:w="90" w:type="dxa"/>
            </w:tcMar>
            <w:vAlign w:val="top"/>
          </w:tcPr>
          <w:p>
            <w:r>
              <w:rPr>
                <w:sz w:val="17"/>
              </w:rPr>
              <w:t>Qualifizierte Fälle statt unvollständiger Anfragen – für weniger Rückfragen und eine schnellere technische Bewertung.</w:t>
            </w:r>
          </w:p>
        </w:tc>
      </w:tr>
      <w:tr>
        <w:trPr>
          <w:trHeight w:hRule="atLeast"/>
        </w:trPr>
        <w:tc>
          <w:tcPr>
            <w:tcW w:type="dxa" w:w="1928"/>
            <w:tcMar>
              <w:top w:w="90" w:type="dxa"/>
              <w:start w:w="90" w:type="dxa"/>
              <w:bottom w:w="90" w:type="dxa"/>
              <w:end w:w="90" w:type="dxa"/>
            </w:tcMar>
            <w:vAlign w:val="top"/>
          </w:tcPr>
          <w:p>
            <w:r>
              <w:rPr>
                <w:b/>
                <w:color w:val="002A5B"/>
                <w:sz w:val="17"/>
              </w:rPr>
              <w:t>Trust-Claim</w:t>
            </w:r>
          </w:p>
        </w:tc>
        <w:tc>
          <w:tcPr>
            <w:tcW w:type="dxa" w:w="7483"/>
            <w:tcMar>
              <w:top w:w="90" w:type="dxa"/>
              <w:start w:w="90" w:type="dxa"/>
              <w:bottom w:w="90" w:type="dxa"/>
              <w:end w:w="90" w:type="dxa"/>
            </w:tcMar>
            <w:vAlign w:val="top"/>
          </w:tcPr>
          <w:p>
            <w:r>
              <w:rPr>
                <w:sz w:val="17"/>
              </w:rPr>
              <w:t>Vollständigkeit vor Empfehlung. Quellen vor Behauptung. Freigabe vor Einsatz.</w:t>
            </w:r>
          </w:p>
        </w:tc>
      </w:tr>
      <w:tr>
        <w:trPr>
          <w:trHeight w:hRule="atLeast"/>
        </w:trPr>
        <w:tc>
          <w:tcPr>
            <w:tcW w:type="dxa" w:w="1928"/>
            <w:tcMar>
              <w:top w:w="90" w:type="dxa"/>
              <w:start w:w="90" w:type="dxa"/>
              <w:bottom w:w="90" w:type="dxa"/>
              <w:end w:w="90" w:type="dxa"/>
            </w:tcMar>
            <w:vAlign w:val="top"/>
          </w:tcPr>
          <w:p>
            <w:r>
              <w:rPr>
                <w:b/>
                <w:color w:val="002A5B"/>
                <w:sz w:val="17"/>
              </w:rPr>
              <w:t>Operativer Dachclaim</w:t>
            </w:r>
          </w:p>
        </w:tc>
        <w:tc>
          <w:tcPr>
            <w:tcW w:type="dxa" w:w="7483"/>
            <w:tcMar>
              <w:top w:w="90" w:type="dxa"/>
              <w:start w:w="90" w:type="dxa"/>
              <w:bottom w:w="90" w:type="dxa"/>
              <w:end w:w="90" w:type="dxa"/>
            </w:tcMar>
            <w:vAlign w:val="top"/>
          </w:tcPr>
          <w:p>
            <w:r>
              <w:rPr>
                <w:sz w:val="17"/>
              </w:rPr>
              <w:t>Dichtungstechnik. Von der Frage zur prüfbaren Entscheidung.</w:t>
            </w:r>
          </w:p>
        </w:tc>
      </w:tr>
      <w:tr>
        <w:trPr>
          <w:trHeight w:hRule="atLeast"/>
        </w:trPr>
        <w:tc>
          <w:tcPr>
            <w:tcW w:type="dxa" w:w="1928"/>
            <w:tcMar>
              <w:top w:w="90" w:type="dxa"/>
              <w:start w:w="90" w:type="dxa"/>
              <w:bottom w:w="90" w:type="dxa"/>
              <w:end w:w="90" w:type="dxa"/>
            </w:tcMar>
            <w:vAlign w:val="top"/>
          </w:tcPr>
          <w:p>
            <w:r>
              <w:rPr>
                <w:b/>
                <w:color w:val="002A5B"/>
                <w:sz w:val="17"/>
              </w:rPr>
              <w:t>Lifecycle-Vision</w:t>
            </w:r>
          </w:p>
        </w:tc>
        <w:tc>
          <w:tcPr>
            <w:tcW w:type="dxa" w:w="7483"/>
            <w:tcMar>
              <w:top w:w="90" w:type="dxa"/>
              <w:start w:w="90" w:type="dxa"/>
              <w:bottom w:w="90" w:type="dxa"/>
              <w:end w:w="90" w:type="dxa"/>
            </w:tcMar>
            <w:vAlign w:val="top"/>
          </w:tcPr>
          <w:p>
            <w:r>
              <w:rPr>
                <w:sz w:val="17"/>
              </w:rPr>
              <w:t>Von Wissen und Engineering über Freigabe und Einbau bis zur dokumentierten Felderfahrung – in einem verbundenen System.</w:t>
            </w:r>
          </w:p>
        </w:tc>
      </w:tr>
    </w:tbl>
    <w:p/>
    <w:p>
      <w:pPr>
        <w:pStyle w:val="Heading2"/>
      </w:pPr>
      <w:r>
        <w:t>1.2 Strategische Entscheidungen</w:t>
      </w:r>
    </w:p>
    <w:p>
      <w:pPr>
        <w:pStyle w:val="ListBullet"/>
        <w:spacing w:after="40"/>
      </w:pPr>
      <w:r>
        <w:t>360° ist das Architektur- und Lebenszyklusziel, nicht die Behauptung vollständiger heutiger Abdeckung.</w:t>
      </w:r>
    </w:p>
    <w:p>
      <w:pPr>
        <w:pStyle w:val="ListBullet"/>
        <w:spacing w:after="40"/>
      </w:pPr>
      <w:r>
        <w:t>Der kommerzielle Wedge ist die qualifizierte Fallbearbeitung; der Wissensmodus schafft Reichweite, Vertrauen und frühen Nutzerwert.</w:t>
      </w:r>
    </w:p>
    <w:p>
      <w:pPr>
        <w:pStyle w:val="ListBullet"/>
        <w:spacing w:after="40"/>
      </w:pPr>
      <w:r>
        <w:t>sealingAI bleibt eine neutrale Plattform mit optionaler Herstellerübergabe, kein preisgetriebener Marktplatz.</w:t>
      </w:r>
    </w:p>
    <w:p>
      <w:pPr>
        <w:pStyle w:val="ListBullet"/>
        <w:spacing w:after="40"/>
      </w:pPr>
      <w:r>
        <w:t>Der modulare Monolith bleibt das bevorzugte Architekturmodell; Microservices werden nur bei belegtem Bedarf extrahiert.</w:t>
      </w:r>
    </w:p>
    <w:p>
      <w:pPr>
        <w:pStyle w:val="ListBullet"/>
        <w:spacing w:after="40"/>
      </w:pPr>
      <w:r>
        <w:t>Das LLM formuliert, erklärt und orchestriert. Berechnungen, Grenzwerte, Claims, Freigaben und Status werden durch geprüfte Daten und deterministische Systeme kontrolliert.</w:t>
      </w:r>
    </w:p>
    <w:p>
      <w:pPr>
        <w:pStyle w:val="ListBullet"/>
        <w:spacing w:after="40"/>
      </w:pPr>
      <w:r>
        <w:t>Tiefe vor Breite: Jede neue Fachdomäne wird als vollständige vertikale Scheibe aufgebaut.</w:t>
      </w:r>
    </w:p>
    <w:p>
      <w:pPr>
        <w:pStyle w:val="ListBullet"/>
        <w:spacing w:after="40"/>
      </w:pPr>
      <w:r>
        <w:t>Neue Produktmodi werden nur feature-flagged und nach Eval-Gate aktiviert.</w:t>
      </w:r>
    </w:p>
    <w:p>
      <w:r>
        <w:br w:type="page"/>
      </w:r>
    </w:p>
    <w:p>
      <w:pPr>
        <w:pStyle w:val="Heading1"/>
      </w:pPr>
      <w:r>
        <w:t>2. Problemraum und Branchen-Pains</w:t>
      </w:r>
    </w:p>
    <w:p>
      <w:r>
        <w:t>Die Branche besitzt viele Datenblätter, Normen, Produktfinder und Experten. Der Engpass liegt nicht primär im Fehlen einzelner Informationen, sondern in ihrer Fragmentierung, im fehlenden Anwendungskontext und in der schwachen Überführung einer realen Situation in einen prüfbaren technischen Fall.</w:t>
      </w:r>
    </w:p>
    <w:p>
      <w:pPr>
        <w:pStyle w:val="Heading2"/>
      </w:pPr>
      <w:r>
        <w:t>2.1 Kernprobleme</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928"/>
            <w:shd w:fill="17324D"/>
            <w:tcMar>
              <w:top w:w="90" w:type="dxa"/>
              <w:start w:w="90" w:type="dxa"/>
              <w:bottom w:w="90" w:type="dxa"/>
              <w:end w:w="90" w:type="dxa"/>
            </w:tcMar>
            <w:vAlign w:val="center"/>
          </w:tcPr>
          <w:p>
            <w:pPr>
              <w:jc w:val="left"/>
            </w:pPr>
            <w:r>
              <w:rPr>
                <w:b/>
                <w:color w:val="FFFFFF"/>
                <w:sz w:val="16"/>
              </w:rPr>
              <w:t>Pain</w:t>
            </w:r>
          </w:p>
        </w:tc>
        <w:tc>
          <w:tcPr>
            <w:tcW w:type="dxa" w:w="2268"/>
            <w:shd w:fill="17324D"/>
            <w:tcMar>
              <w:top w:w="90" w:type="dxa"/>
              <w:start w:w="90" w:type="dxa"/>
              <w:bottom w:w="90" w:type="dxa"/>
              <w:end w:w="90" w:type="dxa"/>
            </w:tcMar>
            <w:vAlign w:val="center"/>
          </w:tcPr>
          <w:p>
            <w:pPr>
              <w:jc w:val="left"/>
            </w:pPr>
            <w:r>
              <w:rPr>
                <w:b/>
                <w:color w:val="FFFFFF"/>
                <w:sz w:val="16"/>
              </w:rPr>
              <w:t>Typische Folge</w:t>
            </w:r>
          </w:p>
        </w:tc>
        <w:tc>
          <w:tcPr>
            <w:tcW w:type="dxa" w:w="3061"/>
            <w:shd w:fill="17324D"/>
            <w:tcMar>
              <w:top w:w="90" w:type="dxa"/>
              <w:start w:w="90" w:type="dxa"/>
              <w:bottom w:w="90" w:type="dxa"/>
              <w:end w:w="90" w:type="dxa"/>
            </w:tcMar>
            <w:vAlign w:val="center"/>
          </w:tcPr>
          <w:p>
            <w:pPr>
              <w:jc w:val="left"/>
            </w:pPr>
            <w:r>
              <w:rPr>
                <w:b/>
                <w:color w:val="FFFFFF"/>
                <w:sz w:val="16"/>
              </w:rPr>
              <w:t>Antwort durch sealingAI</w:t>
            </w:r>
          </w:p>
        </w:tc>
        <w:tc>
          <w:tcPr>
            <w:tcW w:type="dxa" w:w="2154"/>
            <w:shd w:fill="17324D"/>
            <w:tcMar>
              <w:top w:w="90" w:type="dxa"/>
              <w:start w:w="90" w:type="dxa"/>
              <w:bottom w:w="90" w:type="dxa"/>
              <w:end w:w="90" w:type="dxa"/>
            </w:tcMar>
            <w:vAlign w:val="center"/>
          </w:tcPr>
          <w:p>
            <w:pPr>
              <w:jc w:val="left"/>
            </w:pPr>
            <w:r>
              <w:rPr>
                <w:b/>
                <w:color w:val="FFFFFF"/>
                <w:sz w:val="16"/>
              </w:rPr>
              <w:t>Evidenzstatus</w:t>
            </w:r>
          </w:p>
        </w:tc>
      </w:tr>
      <w:tr>
        <w:trPr>
          <w:trHeight w:hRule="atLeast"/>
        </w:trPr>
        <w:tc>
          <w:tcPr>
            <w:tcW w:type="dxa" w:w="1928"/>
            <w:tcMar>
              <w:top w:w="90" w:type="dxa"/>
              <w:start w:w="90" w:type="dxa"/>
              <w:bottom w:w="90" w:type="dxa"/>
              <w:end w:w="90" w:type="dxa"/>
            </w:tcMar>
            <w:vAlign w:val="top"/>
          </w:tcPr>
          <w:p>
            <w:r>
              <w:rPr>
                <w:sz w:val="16"/>
              </w:rPr>
              <w:t>Unvollständige Betriebsdaten</w:t>
            </w:r>
          </w:p>
        </w:tc>
        <w:tc>
          <w:tcPr>
            <w:tcW w:type="dxa" w:w="2268"/>
            <w:tcMar>
              <w:top w:w="90" w:type="dxa"/>
              <w:start w:w="90" w:type="dxa"/>
              <w:bottom w:w="90" w:type="dxa"/>
              <w:end w:w="90" w:type="dxa"/>
            </w:tcMar>
            <w:vAlign w:val="top"/>
          </w:tcPr>
          <w:p>
            <w:r>
              <w:rPr>
                <w:sz w:val="16"/>
              </w:rPr>
              <w:t>Scheingenauigkeit, Rückfragen, Fehlbewertung</w:t>
            </w:r>
          </w:p>
        </w:tc>
        <w:tc>
          <w:tcPr>
            <w:tcW w:type="dxa" w:w="3061"/>
            <w:tcMar>
              <w:top w:w="90" w:type="dxa"/>
              <w:start w:w="90" w:type="dxa"/>
              <w:bottom w:w="90" w:type="dxa"/>
              <w:end w:w="90" w:type="dxa"/>
            </w:tcMar>
            <w:vAlign w:val="top"/>
          </w:tcPr>
          <w:p>
            <w:r>
              <w:rPr>
                <w:sz w:val="16"/>
              </w:rPr>
              <w:t>Adaptive Fallaufnahme, Coverage-Status, sichtbare Unknowns</w:t>
            </w:r>
          </w:p>
        </w:tc>
        <w:tc>
          <w:tcPr>
            <w:tcW w:type="dxa" w:w="2154"/>
            <w:tcMar>
              <w:top w:w="90" w:type="dxa"/>
              <w:start w:w="90" w:type="dxa"/>
              <w:bottom w:w="90" w:type="dxa"/>
              <w:end w:w="90" w:type="dxa"/>
            </w:tcMar>
            <w:vAlign w:val="top"/>
          </w:tcPr>
          <w:p>
            <w:r>
              <w:rPr>
                <w:sz w:val="16"/>
              </w:rPr>
              <w:t>Branchenlogisch und quellenbasiert; Pilotmessung erforderlich</w:t>
            </w:r>
          </w:p>
        </w:tc>
      </w:tr>
      <w:tr>
        <w:trPr>
          <w:trHeight w:hRule="atLeast"/>
        </w:trPr>
        <w:tc>
          <w:tcPr>
            <w:tcW w:type="dxa" w:w="1928"/>
            <w:tcMar>
              <w:top w:w="90" w:type="dxa"/>
              <w:start w:w="90" w:type="dxa"/>
              <w:bottom w:w="90" w:type="dxa"/>
              <w:end w:w="90" w:type="dxa"/>
            </w:tcMar>
            <w:vAlign w:val="top"/>
          </w:tcPr>
          <w:p>
            <w:r>
              <w:rPr>
                <w:sz w:val="16"/>
              </w:rPr>
              <w:t>Werkstofffamilie wird mit Compound verwechselt</w:t>
            </w:r>
          </w:p>
        </w:tc>
        <w:tc>
          <w:tcPr>
            <w:tcW w:type="dxa" w:w="2268"/>
            <w:tcMar>
              <w:top w:w="90" w:type="dxa"/>
              <w:start w:w="90" w:type="dxa"/>
              <w:bottom w:w="90" w:type="dxa"/>
              <w:end w:w="90" w:type="dxa"/>
            </w:tcMar>
            <w:vAlign w:val="top"/>
          </w:tcPr>
          <w:p>
            <w:r>
              <w:rPr>
                <w:sz w:val="16"/>
              </w:rPr>
              <w:t>Unzulässige Verallgemeinerung und falsche Freigabe</w:t>
            </w:r>
          </w:p>
        </w:tc>
        <w:tc>
          <w:tcPr>
            <w:tcW w:type="dxa" w:w="3061"/>
            <w:tcMar>
              <w:top w:w="90" w:type="dxa"/>
              <w:start w:w="90" w:type="dxa"/>
              <w:bottom w:w="90" w:type="dxa"/>
              <w:end w:w="90" w:type="dxa"/>
            </w:tcMar>
            <w:vAlign w:val="top"/>
          </w:tcPr>
          <w:p>
            <w:r>
              <w:rPr>
                <w:sz w:val="16"/>
              </w:rPr>
              <w:t>Trennung Familie – Typ – Compound – Produkt – Charge</w:t>
            </w:r>
          </w:p>
        </w:tc>
        <w:tc>
          <w:tcPr>
            <w:tcW w:type="dxa" w:w="2154"/>
            <w:tcMar>
              <w:top w:w="90" w:type="dxa"/>
              <w:start w:w="90" w:type="dxa"/>
              <w:bottom w:w="90" w:type="dxa"/>
              <w:end w:w="90" w:type="dxa"/>
            </w:tcMar>
            <w:vAlign w:val="top"/>
          </w:tcPr>
          <w:p>
            <w:r>
              <w:rPr>
                <w:sz w:val="16"/>
              </w:rPr>
              <w:t>Fachlich belegt</w:t>
            </w:r>
          </w:p>
        </w:tc>
      </w:tr>
      <w:tr>
        <w:trPr>
          <w:trHeight w:hRule="atLeast"/>
        </w:trPr>
        <w:tc>
          <w:tcPr>
            <w:tcW w:type="dxa" w:w="1928"/>
            <w:tcMar>
              <w:top w:w="90" w:type="dxa"/>
              <w:start w:w="90" w:type="dxa"/>
              <w:bottom w:w="90" w:type="dxa"/>
              <w:end w:w="90" w:type="dxa"/>
            </w:tcMar>
            <w:vAlign w:val="top"/>
          </w:tcPr>
          <w:p>
            <w:r>
              <w:rPr>
                <w:sz w:val="16"/>
              </w:rPr>
              <w:t>Schaden wird isoliert an der Dichtung gesucht</w:t>
            </w:r>
          </w:p>
        </w:tc>
        <w:tc>
          <w:tcPr>
            <w:tcW w:type="dxa" w:w="2268"/>
            <w:tcMar>
              <w:top w:w="90" w:type="dxa"/>
              <w:start w:w="90" w:type="dxa"/>
              <w:bottom w:w="90" w:type="dxa"/>
              <w:end w:w="90" w:type="dxa"/>
            </w:tcMar>
            <w:vAlign w:val="top"/>
          </w:tcPr>
          <w:p>
            <w:r>
              <w:rPr>
                <w:sz w:val="16"/>
              </w:rPr>
              <w:t>Teiletausch ohne Root Cause, Wiederholfehler</w:t>
            </w:r>
          </w:p>
        </w:tc>
        <w:tc>
          <w:tcPr>
            <w:tcW w:type="dxa" w:w="3061"/>
            <w:tcMar>
              <w:top w:w="90" w:type="dxa"/>
              <w:start w:w="90" w:type="dxa"/>
              <w:bottom w:w="90" w:type="dxa"/>
              <w:end w:w="90" w:type="dxa"/>
            </w:tcMar>
            <w:vAlign w:val="top"/>
          </w:tcPr>
          <w:p>
            <w:r>
              <w:rPr>
                <w:sz w:val="16"/>
              </w:rPr>
              <w:t>Systemische Failure Intelligence mit Hypothesen und Prüfplan</w:t>
            </w:r>
          </w:p>
        </w:tc>
        <w:tc>
          <w:tcPr>
            <w:tcW w:type="dxa" w:w="2154"/>
            <w:tcMar>
              <w:top w:w="90" w:type="dxa"/>
              <w:start w:w="90" w:type="dxa"/>
              <w:bottom w:w="90" w:type="dxa"/>
              <w:end w:w="90" w:type="dxa"/>
            </w:tcMar>
            <w:vAlign w:val="top"/>
          </w:tcPr>
          <w:p>
            <w:r>
              <w:rPr>
                <w:sz w:val="16"/>
              </w:rPr>
              <w:t>Fachlich belegt</w:t>
            </w:r>
          </w:p>
        </w:tc>
      </w:tr>
      <w:tr>
        <w:trPr>
          <w:trHeight w:hRule="atLeast"/>
        </w:trPr>
        <w:tc>
          <w:tcPr>
            <w:tcW w:type="dxa" w:w="1928"/>
            <w:tcMar>
              <w:top w:w="90" w:type="dxa"/>
              <w:start w:w="90" w:type="dxa"/>
              <w:bottom w:w="90" w:type="dxa"/>
              <w:end w:w="90" w:type="dxa"/>
            </w:tcMar>
            <w:vAlign w:val="top"/>
          </w:tcPr>
          <w:p>
            <w:r>
              <w:rPr>
                <w:sz w:val="16"/>
              </w:rPr>
              <w:t>Kontextverlust zwischen Engineering, Einkauf, Montage und Betrieb</w:t>
            </w:r>
          </w:p>
        </w:tc>
        <w:tc>
          <w:tcPr>
            <w:tcW w:type="dxa" w:w="2268"/>
            <w:tcMar>
              <w:top w:w="90" w:type="dxa"/>
              <w:start w:w="90" w:type="dxa"/>
              <w:bottom w:w="90" w:type="dxa"/>
              <w:end w:w="90" w:type="dxa"/>
            </w:tcMar>
            <w:vAlign w:val="top"/>
          </w:tcPr>
          <w:p>
            <w:r>
              <w:rPr>
                <w:sz w:val="16"/>
              </w:rPr>
              <w:t>Falsches Teil, fehlende Freigabe, keine Traceability</w:t>
            </w:r>
          </w:p>
        </w:tc>
        <w:tc>
          <w:tcPr>
            <w:tcW w:type="dxa" w:w="3061"/>
            <w:tcMar>
              <w:top w:w="90" w:type="dxa"/>
              <w:start w:w="90" w:type="dxa"/>
              <w:bottom w:w="90" w:type="dxa"/>
              <w:end w:w="90" w:type="dxa"/>
            </w:tcMar>
            <w:vAlign w:val="top"/>
          </w:tcPr>
          <w:p>
            <w:r>
              <w:rPr>
                <w:sz w:val="16"/>
              </w:rPr>
              <w:t>Versionierter Sealing Case Record und Asset Memory</w:t>
            </w:r>
          </w:p>
        </w:tc>
        <w:tc>
          <w:tcPr>
            <w:tcW w:type="dxa" w:w="2154"/>
            <w:tcMar>
              <w:top w:w="90" w:type="dxa"/>
              <w:start w:w="90" w:type="dxa"/>
              <w:bottom w:w="90" w:type="dxa"/>
              <w:end w:w="90" w:type="dxa"/>
            </w:tcMar>
            <w:vAlign w:val="top"/>
          </w:tcPr>
          <w:p>
            <w:r>
              <w:rPr>
                <w:sz w:val="16"/>
              </w:rPr>
              <w:t>Fachlich belegt</w:t>
            </w:r>
          </w:p>
        </w:tc>
      </w:tr>
      <w:tr>
        <w:trPr>
          <w:trHeight w:hRule="atLeast"/>
        </w:trPr>
        <w:tc>
          <w:tcPr>
            <w:tcW w:type="dxa" w:w="1928"/>
            <w:tcMar>
              <w:top w:w="90" w:type="dxa"/>
              <w:start w:w="90" w:type="dxa"/>
              <w:bottom w:w="90" w:type="dxa"/>
              <w:end w:w="90" w:type="dxa"/>
            </w:tcMar>
            <w:vAlign w:val="top"/>
          </w:tcPr>
          <w:p>
            <w:r>
              <w:rPr>
                <w:sz w:val="16"/>
              </w:rPr>
              <w:t>Herstelleranfragen sind unstrukturiert</w:t>
            </w:r>
          </w:p>
        </w:tc>
        <w:tc>
          <w:tcPr>
            <w:tcW w:type="dxa" w:w="2268"/>
            <w:tcMar>
              <w:top w:w="90" w:type="dxa"/>
              <w:start w:w="90" w:type="dxa"/>
              <w:bottom w:w="90" w:type="dxa"/>
              <w:end w:w="90" w:type="dxa"/>
            </w:tcMar>
            <w:vAlign w:val="top"/>
          </w:tcPr>
          <w:p>
            <w:r>
              <w:rPr>
                <w:sz w:val="16"/>
              </w:rPr>
              <w:t>Vorqualifizierungsaufwand und lange Schleifen</w:t>
            </w:r>
          </w:p>
        </w:tc>
        <w:tc>
          <w:tcPr>
            <w:tcW w:type="dxa" w:w="3061"/>
            <w:tcMar>
              <w:top w:w="90" w:type="dxa"/>
              <w:start w:w="90" w:type="dxa"/>
              <w:bottom w:w="90" w:type="dxa"/>
              <w:end w:w="90" w:type="dxa"/>
            </w:tcMar>
            <w:vAlign w:val="top"/>
          </w:tcPr>
          <w:p>
            <w:r>
              <w:rPr>
                <w:sz w:val="16"/>
              </w:rPr>
              <w:t>Manufacturer-Ready Brief und Capability Fit</w:t>
            </w:r>
          </w:p>
        </w:tc>
        <w:tc>
          <w:tcPr>
            <w:tcW w:type="dxa" w:w="2154"/>
            <w:tcMar>
              <w:top w:w="90" w:type="dxa"/>
              <w:start w:w="90" w:type="dxa"/>
              <w:bottom w:w="90" w:type="dxa"/>
              <w:end w:w="90" w:type="dxa"/>
            </w:tcMar>
            <w:vAlign w:val="top"/>
          </w:tcPr>
          <w:p>
            <w:r>
              <w:rPr>
                <w:sz w:val="16"/>
              </w:rPr>
              <w:t>Qualitative Hypothese; im Pilot zu messen</w:t>
            </w:r>
          </w:p>
        </w:tc>
      </w:tr>
      <w:tr>
        <w:trPr>
          <w:trHeight w:hRule="atLeast"/>
        </w:trPr>
        <w:tc>
          <w:tcPr>
            <w:tcW w:type="dxa" w:w="1928"/>
            <w:tcMar>
              <w:top w:w="90" w:type="dxa"/>
              <w:start w:w="90" w:type="dxa"/>
              <w:bottom w:w="90" w:type="dxa"/>
              <w:end w:w="90" w:type="dxa"/>
            </w:tcMar>
            <w:vAlign w:val="top"/>
          </w:tcPr>
          <w:p>
            <w:r>
              <w:rPr>
                <w:sz w:val="16"/>
              </w:rPr>
              <w:t>Angebote basieren auf unterschiedlichen Randbedingungen</w:t>
            </w:r>
          </w:p>
        </w:tc>
        <w:tc>
          <w:tcPr>
            <w:tcW w:type="dxa" w:w="2268"/>
            <w:tcMar>
              <w:top w:w="90" w:type="dxa"/>
              <w:start w:w="90" w:type="dxa"/>
              <w:bottom w:w="90" w:type="dxa"/>
              <w:end w:w="90" w:type="dxa"/>
            </w:tcMar>
            <w:vAlign w:val="top"/>
          </w:tcPr>
          <w:p>
            <w:r>
              <w:rPr>
                <w:sz w:val="16"/>
              </w:rPr>
              <w:t>Technische Antworten sind schwer vergleichbar</w:t>
            </w:r>
          </w:p>
        </w:tc>
        <w:tc>
          <w:tcPr>
            <w:tcW w:type="dxa" w:w="3061"/>
            <w:tcMar>
              <w:top w:w="90" w:type="dxa"/>
              <w:start w:w="90" w:type="dxa"/>
              <w:bottom w:w="90" w:type="dxa"/>
              <w:end w:w="90" w:type="dxa"/>
            </w:tcMar>
            <w:vAlign w:val="top"/>
          </w:tcPr>
          <w:p>
            <w:r>
              <w:rPr>
                <w:sz w:val="16"/>
              </w:rPr>
              <w:t>Gemeinsamer technischer Fall und strukturierte Antwortformate</w:t>
            </w:r>
          </w:p>
        </w:tc>
        <w:tc>
          <w:tcPr>
            <w:tcW w:type="dxa" w:w="2154"/>
            <w:tcMar>
              <w:top w:w="90" w:type="dxa"/>
              <w:start w:w="90" w:type="dxa"/>
              <w:bottom w:w="90" w:type="dxa"/>
              <w:end w:w="90" w:type="dxa"/>
            </w:tcMar>
            <w:vAlign w:val="top"/>
          </w:tcPr>
          <w:p>
            <w:r>
              <w:rPr>
                <w:sz w:val="16"/>
              </w:rPr>
              <w:t>Qualitative Hypothese; im Pilot zu messen</w:t>
            </w:r>
          </w:p>
        </w:tc>
      </w:tr>
      <w:tr>
        <w:trPr>
          <w:trHeight w:hRule="atLeast"/>
        </w:trPr>
        <w:tc>
          <w:tcPr>
            <w:tcW w:type="dxa" w:w="1928"/>
            <w:tcMar>
              <w:top w:w="90" w:type="dxa"/>
              <w:start w:w="90" w:type="dxa"/>
              <w:bottom w:w="90" w:type="dxa"/>
              <w:end w:w="90" w:type="dxa"/>
            </w:tcMar>
            <w:vAlign w:val="top"/>
          </w:tcPr>
          <w:p>
            <w:r>
              <w:rPr>
                <w:sz w:val="16"/>
              </w:rPr>
              <w:t>Regulatorik und Lieferketten ändern sich</w:t>
            </w:r>
          </w:p>
        </w:tc>
        <w:tc>
          <w:tcPr>
            <w:tcW w:type="dxa" w:w="2268"/>
            <w:tcMar>
              <w:top w:w="90" w:type="dxa"/>
              <w:start w:w="90" w:type="dxa"/>
              <w:bottom w:w="90" w:type="dxa"/>
              <w:end w:w="90" w:type="dxa"/>
            </w:tcMar>
            <w:vAlign w:val="top"/>
          </w:tcPr>
          <w:p>
            <w:r>
              <w:rPr>
                <w:sz w:val="16"/>
              </w:rPr>
              <w:t>Riskante Schnellsubstitution oder verspätete Reaktion</w:t>
            </w:r>
          </w:p>
        </w:tc>
        <w:tc>
          <w:tcPr>
            <w:tcW w:type="dxa" w:w="3061"/>
            <w:tcMar>
              <w:top w:w="90" w:type="dxa"/>
              <w:start w:w="90" w:type="dxa"/>
              <w:bottom w:w="90" w:type="dxa"/>
              <w:end w:w="90" w:type="dxa"/>
            </w:tcMar>
            <w:vAlign w:val="top"/>
          </w:tcPr>
          <w:p>
            <w:r>
              <w:rPr>
                <w:sz w:val="16"/>
              </w:rPr>
              <w:t>Versionierter Compliance- und Substitutionsworkflow</w:t>
            </w:r>
          </w:p>
        </w:tc>
        <w:tc>
          <w:tcPr>
            <w:tcW w:type="dxa" w:w="2154"/>
            <w:tcMar>
              <w:top w:w="90" w:type="dxa"/>
              <w:start w:w="90" w:type="dxa"/>
              <w:bottom w:w="90" w:type="dxa"/>
              <w:end w:w="90" w:type="dxa"/>
            </w:tcMar>
            <w:vAlign w:val="top"/>
          </w:tcPr>
          <w:p>
            <w:r>
              <w:rPr>
                <w:sz w:val="16"/>
              </w:rPr>
              <w:t>Öffentlich belegt</w:t>
            </w:r>
          </w:p>
        </w:tc>
      </w:tr>
      <w:tr>
        <w:trPr>
          <w:trHeight w:hRule="atLeast"/>
        </w:trPr>
        <w:tc>
          <w:tcPr>
            <w:tcW w:type="dxa" w:w="1928"/>
            <w:tcMar>
              <w:top w:w="90" w:type="dxa"/>
              <w:start w:w="90" w:type="dxa"/>
              <w:bottom w:w="90" w:type="dxa"/>
              <w:end w:w="90" w:type="dxa"/>
            </w:tcMar>
            <w:vAlign w:val="top"/>
          </w:tcPr>
          <w:p>
            <w:r>
              <w:rPr>
                <w:sz w:val="16"/>
              </w:rPr>
              <w:t>Erfahrungswissen ist personengebunden</w:t>
            </w:r>
          </w:p>
        </w:tc>
        <w:tc>
          <w:tcPr>
            <w:tcW w:type="dxa" w:w="2268"/>
            <w:tcMar>
              <w:top w:w="90" w:type="dxa"/>
              <w:start w:w="90" w:type="dxa"/>
              <w:bottom w:w="90" w:type="dxa"/>
              <w:end w:w="90" w:type="dxa"/>
            </w:tcMar>
            <w:vAlign w:val="top"/>
          </w:tcPr>
          <w:p>
            <w:r>
              <w:rPr>
                <w:sz w:val="16"/>
              </w:rPr>
              <w:t>Wissensverlust und langsame Einarbeitung</w:t>
            </w:r>
          </w:p>
        </w:tc>
        <w:tc>
          <w:tcPr>
            <w:tcW w:type="dxa" w:w="3061"/>
            <w:tcMar>
              <w:top w:w="90" w:type="dxa"/>
              <w:start w:w="90" w:type="dxa"/>
              <w:bottom w:w="90" w:type="dxa"/>
              <w:end w:w="90" w:type="dxa"/>
            </w:tcMar>
            <w:vAlign w:val="top"/>
          </w:tcPr>
          <w:p>
            <w:r>
              <w:rPr>
                <w:sz w:val="16"/>
              </w:rPr>
              <w:t>Validierte Fälle, Entscheidungsgründe und Outcomes</w:t>
            </w:r>
          </w:p>
        </w:tc>
        <w:tc>
          <w:tcPr>
            <w:tcW w:type="dxa" w:w="2154"/>
            <w:tcMar>
              <w:top w:w="90" w:type="dxa"/>
              <w:start w:w="90" w:type="dxa"/>
              <w:bottom w:w="90" w:type="dxa"/>
              <w:end w:w="90" w:type="dxa"/>
            </w:tcMar>
            <w:vAlign w:val="top"/>
          </w:tcPr>
          <w:p>
            <w:r>
              <w:rPr>
                <w:sz w:val="16"/>
              </w:rPr>
              <w:t>Industrieübergreifend belegt; dichtungsspezifisch zu validieren</w:t>
            </w:r>
          </w:p>
        </w:tc>
      </w:tr>
      <w:tr>
        <w:trPr>
          <w:trHeight w:hRule="atLeast"/>
        </w:trPr>
        <w:tc>
          <w:tcPr>
            <w:tcW w:type="dxa" w:w="1928"/>
            <w:tcMar>
              <w:top w:w="90" w:type="dxa"/>
              <w:start w:w="90" w:type="dxa"/>
              <w:bottom w:w="90" w:type="dxa"/>
              <w:end w:w="90" w:type="dxa"/>
            </w:tcMar>
            <w:vAlign w:val="top"/>
          </w:tcPr>
          <w:p>
            <w:r>
              <w:rPr>
                <w:sz w:val="16"/>
              </w:rPr>
              <w:t>Bauteilpreis dominiert</w:t>
            </w:r>
          </w:p>
        </w:tc>
        <w:tc>
          <w:tcPr>
            <w:tcW w:type="dxa" w:w="2268"/>
            <w:tcMar>
              <w:top w:w="90" w:type="dxa"/>
              <w:start w:w="90" w:type="dxa"/>
              <w:bottom w:w="90" w:type="dxa"/>
              <w:end w:w="90" w:type="dxa"/>
            </w:tcMar>
            <w:vAlign w:val="top"/>
          </w:tcPr>
          <w:p>
            <w:r>
              <w:rPr>
                <w:sz w:val="16"/>
              </w:rPr>
              <w:t>TCO und Ausfallrisiko bleiben unsichtbar</w:t>
            </w:r>
          </w:p>
        </w:tc>
        <w:tc>
          <w:tcPr>
            <w:tcW w:type="dxa" w:w="3061"/>
            <w:tcMar>
              <w:top w:w="90" w:type="dxa"/>
              <w:start w:w="90" w:type="dxa"/>
              <w:bottom w:w="90" w:type="dxa"/>
              <w:end w:w="90" w:type="dxa"/>
            </w:tcMar>
            <w:vAlign w:val="top"/>
          </w:tcPr>
          <w:p>
            <w:r>
              <w:rPr>
                <w:sz w:val="16"/>
              </w:rPr>
              <w:t>Fallbezogenes Kosten- und Risikomodell</w:t>
            </w:r>
          </w:p>
        </w:tc>
        <w:tc>
          <w:tcPr>
            <w:tcW w:type="dxa" w:w="2154"/>
            <w:tcMar>
              <w:top w:w="90" w:type="dxa"/>
              <w:start w:w="90" w:type="dxa"/>
              <w:bottom w:w="90" w:type="dxa"/>
              <w:end w:w="90" w:type="dxa"/>
            </w:tcMar>
            <w:vAlign w:val="top"/>
          </w:tcPr>
          <w:p>
            <w:r>
              <w:rPr>
                <w:sz w:val="16"/>
              </w:rPr>
              <w:t>Branchenindikator; organisationsspezifisch zu validieren</w:t>
            </w:r>
          </w:p>
        </w:tc>
      </w:tr>
    </w:tbl>
    <w:p/>
    <w:p>
      <w:pPr>
        <w:pStyle w:val="Heading2"/>
      </w:pPr>
      <w:r>
        <w:t>2.2 Pain Evidence Ledger</w:t>
      </w:r>
    </w:p>
    <w:p>
      <w:r>
        <w:t>Alle strategischen Pain-Claims werden in einem separaten Evidence Ledger geführt. Jeder Claim erhält Quelle, Provenienzklasse, Geltungsbereich, Aktualität, offene Hypothese und geplante Validierung. Pilot-KPIs dürfen erst nach Messung als Marketingclaim verwendet werden.</w:t>
      </w:r>
    </w:p>
    <w:tbl>
      <w:tblPr>
        <w:tblStyle w:val="TableGrid"/>
        <w:tblW w:type="auto" w:w="0"/>
        <w:jc w:val="center"/>
        <w:tblLook w:firstColumn="1" w:firstRow="1" w:lastColumn="0" w:lastRow="0" w:noHBand="0" w:noVBand="1" w:val="04A0"/>
      </w:tblPr>
      <w:tblGrid>
        <w:gridCol w:w="4929"/>
        <w:gridCol w:w="4929"/>
      </w:tblGrid>
      <w:tr>
        <w:tc>
          <w:tcPr>
            <w:tcW w:type="dxa" w:w="2268"/>
            <w:shd w:fill="17324D"/>
            <w:tcMar>
              <w:top w:w="90" w:type="dxa"/>
              <w:start w:w="90" w:type="dxa"/>
              <w:bottom w:w="90" w:type="dxa"/>
              <w:end w:w="90" w:type="dxa"/>
            </w:tcMar>
            <w:vAlign w:val="center"/>
          </w:tcPr>
          <w:p>
            <w:pPr>
              <w:jc w:val="left"/>
            </w:pPr>
            <w:r>
              <w:rPr>
                <w:b/>
                <w:color w:val="FFFFFF"/>
                <w:sz w:val="17"/>
              </w:rPr>
              <w:t>Status</w:t>
            </w:r>
          </w:p>
        </w:tc>
        <w:tc>
          <w:tcPr>
            <w:tcW w:type="dxa" w:w="7143"/>
            <w:shd w:fill="17324D"/>
            <w:tcMar>
              <w:top w:w="90" w:type="dxa"/>
              <w:start w:w="90" w:type="dxa"/>
              <w:bottom w:w="90" w:type="dxa"/>
              <w:end w:w="90" w:type="dxa"/>
            </w:tcMar>
            <w:vAlign w:val="center"/>
          </w:tcPr>
          <w:p>
            <w:pPr>
              <w:jc w:val="left"/>
            </w:pPr>
            <w:r>
              <w:rPr>
                <w:b/>
                <w:color w:val="FFFFFF"/>
                <w:sz w:val="17"/>
              </w:rPr>
              <w:t>Bedeutung</w:t>
            </w:r>
          </w:p>
        </w:tc>
      </w:tr>
      <w:tr>
        <w:trPr>
          <w:trHeight w:hRule="atLeast"/>
        </w:trPr>
        <w:tc>
          <w:tcPr>
            <w:tcW w:type="dxa" w:w="2268"/>
            <w:tcMar>
              <w:top w:w="90" w:type="dxa"/>
              <w:start w:w="90" w:type="dxa"/>
              <w:bottom w:w="90" w:type="dxa"/>
              <w:end w:w="90" w:type="dxa"/>
            </w:tcMar>
            <w:vAlign w:val="top"/>
          </w:tcPr>
          <w:p>
            <w:r>
              <w:rPr>
                <w:b/>
                <w:color w:val="002A5B"/>
                <w:sz w:val="17"/>
              </w:rPr>
              <w:t>Belegt</w:t>
            </w:r>
          </w:p>
        </w:tc>
        <w:tc>
          <w:tcPr>
            <w:tcW w:type="dxa" w:w="7143"/>
            <w:tcMar>
              <w:top w:w="90" w:type="dxa"/>
              <w:start w:w="90" w:type="dxa"/>
              <w:bottom w:w="90" w:type="dxa"/>
              <w:end w:w="90" w:type="dxa"/>
            </w:tcMar>
            <w:vAlign w:val="top"/>
          </w:tcPr>
          <w:p>
            <w:r>
              <w:rPr>
                <w:sz w:val="17"/>
              </w:rPr>
              <w:t>Direkte fachliche oder öffentliche Evidenz mit passendem Geltungsbereich.</w:t>
            </w:r>
          </w:p>
        </w:tc>
      </w:tr>
      <w:tr>
        <w:trPr>
          <w:trHeight w:hRule="atLeast"/>
        </w:trPr>
        <w:tc>
          <w:tcPr>
            <w:tcW w:type="dxa" w:w="2268"/>
            <w:tcMar>
              <w:top w:w="90" w:type="dxa"/>
              <w:start w:w="90" w:type="dxa"/>
              <w:bottom w:w="90" w:type="dxa"/>
              <w:end w:w="90" w:type="dxa"/>
            </w:tcMar>
            <w:vAlign w:val="top"/>
          </w:tcPr>
          <w:p>
            <w:r>
              <w:rPr>
                <w:b/>
                <w:color w:val="002A5B"/>
                <w:sz w:val="17"/>
              </w:rPr>
              <w:t>Teilweise belegt</w:t>
            </w:r>
          </w:p>
        </w:tc>
        <w:tc>
          <w:tcPr>
            <w:tcW w:type="dxa" w:w="7143"/>
            <w:tcMar>
              <w:top w:w="90" w:type="dxa"/>
              <w:start w:w="90" w:type="dxa"/>
              <w:bottom w:w="90" w:type="dxa"/>
              <w:end w:w="90" w:type="dxa"/>
            </w:tcMar>
            <w:vAlign w:val="top"/>
          </w:tcPr>
          <w:p>
            <w:r>
              <w:rPr>
                <w:sz w:val="17"/>
              </w:rPr>
              <w:t>Richtung belegt, konkretes Ausmaß in Dichtungstechnik noch offen.</w:t>
            </w:r>
          </w:p>
        </w:tc>
      </w:tr>
      <w:tr>
        <w:trPr>
          <w:trHeight w:hRule="atLeast"/>
        </w:trPr>
        <w:tc>
          <w:tcPr>
            <w:tcW w:type="dxa" w:w="2268"/>
            <w:tcMar>
              <w:top w:w="90" w:type="dxa"/>
              <w:start w:w="90" w:type="dxa"/>
              <w:bottom w:w="90" w:type="dxa"/>
              <w:end w:w="90" w:type="dxa"/>
            </w:tcMar>
            <w:vAlign w:val="top"/>
          </w:tcPr>
          <w:p>
            <w:r>
              <w:rPr>
                <w:b/>
                <w:color w:val="002A5B"/>
                <w:sz w:val="17"/>
              </w:rPr>
              <w:t>Owner-/Expertenhypothese</w:t>
            </w:r>
          </w:p>
        </w:tc>
        <w:tc>
          <w:tcPr>
            <w:tcW w:type="dxa" w:w="7143"/>
            <w:tcMar>
              <w:top w:w="90" w:type="dxa"/>
              <w:start w:w="90" w:type="dxa"/>
              <w:bottom w:w="90" w:type="dxa"/>
              <w:end w:w="90" w:type="dxa"/>
            </w:tcMar>
            <w:vAlign w:val="top"/>
          </w:tcPr>
          <w:p>
            <w:r>
              <w:rPr>
                <w:sz w:val="17"/>
              </w:rPr>
              <w:t>Plausibel und relevant, aber nicht objektiviert.</w:t>
            </w:r>
          </w:p>
        </w:tc>
      </w:tr>
      <w:tr>
        <w:trPr>
          <w:trHeight w:hRule="atLeast"/>
        </w:trPr>
        <w:tc>
          <w:tcPr>
            <w:tcW w:type="dxa" w:w="2268"/>
            <w:tcMar>
              <w:top w:w="90" w:type="dxa"/>
              <w:start w:w="90" w:type="dxa"/>
              <w:bottom w:w="90" w:type="dxa"/>
              <w:end w:w="90" w:type="dxa"/>
            </w:tcMar>
            <w:vAlign w:val="top"/>
          </w:tcPr>
          <w:p>
            <w:r>
              <w:rPr>
                <w:b/>
                <w:color w:val="002A5B"/>
                <w:sz w:val="17"/>
              </w:rPr>
              <w:t>Pilotmessung erforderlich</w:t>
            </w:r>
          </w:p>
        </w:tc>
        <w:tc>
          <w:tcPr>
            <w:tcW w:type="dxa" w:w="7143"/>
            <w:tcMar>
              <w:top w:w="90" w:type="dxa"/>
              <w:start w:w="90" w:type="dxa"/>
              <w:bottom w:w="90" w:type="dxa"/>
              <w:end w:w="90" w:type="dxa"/>
            </w:tcMar>
            <w:vAlign w:val="top"/>
          </w:tcPr>
          <w:p>
            <w:r>
              <w:rPr>
                <w:sz w:val="17"/>
              </w:rPr>
              <w:t>Nur durch reale Prozessdaten belastbar.</w:t>
            </w:r>
          </w:p>
        </w:tc>
      </w:tr>
      <w:tr>
        <w:trPr>
          <w:trHeight w:hRule="atLeast"/>
        </w:trPr>
        <w:tc>
          <w:tcPr>
            <w:tcW w:type="dxa" w:w="2268"/>
            <w:tcMar>
              <w:top w:w="90" w:type="dxa"/>
              <w:start w:w="90" w:type="dxa"/>
              <w:bottom w:w="90" w:type="dxa"/>
              <w:end w:w="90" w:type="dxa"/>
            </w:tcMar>
            <w:vAlign w:val="top"/>
          </w:tcPr>
          <w:p>
            <w:r>
              <w:rPr>
                <w:b/>
                <w:color w:val="002A5B"/>
                <w:sz w:val="17"/>
              </w:rPr>
              <w:t>Nicht ausreichend unterstützt</w:t>
            </w:r>
          </w:p>
        </w:tc>
        <w:tc>
          <w:tcPr>
            <w:tcW w:type="dxa" w:w="7143"/>
            <w:tcMar>
              <w:top w:w="90" w:type="dxa"/>
              <w:start w:w="90" w:type="dxa"/>
              <w:bottom w:w="90" w:type="dxa"/>
              <w:end w:w="90" w:type="dxa"/>
            </w:tcMar>
            <w:vAlign w:val="top"/>
          </w:tcPr>
          <w:p>
            <w:r>
              <w:rPr>
                <w:sz w:val="17"/>
              </w:rPr>
              <w:t>Darf nicht als externer Claim verwendet werden.</w:t>
            </w:r>
          </w:p>
        </w:tc>
      </w:tr>
    </w:tbl>
    <w:p/>
    <w:p>
      <w:r>
        <w:br w:type="page"/>
      </w:r>
    </w:p>
    <w:p>
      <w:pPr>
        <w:pStyle w:val="Heading1"/>
      </w:pPr>
      <w:r>
        <w:t>3. Vision, Mission und strategische Identität</w:t>
      </w:r>
    </w:p>
    <w:p>
      <w:pPr>
        <w:pStyle w:val="Heading2"/>
      </w:pPr>
      <w:r>
        <w:t>3.1 Vision</w:t>
      </w:r>
    </w:p>
    <w:p>
      <w:r>
        <w:t>Industrielle Dichtungsentscheidungen werden nicht mehr durch verstreute Daten, implizite Annahmen und verlorenes Erfahrungswissen geprägt, sondern durch einen gemeinsamen, nachvollziehbaren und lernenden technischen Kontext.</w:t>
      </w:r>
    </w:p>
    <w:p>
      <w:pPr>
        <w:pStyle w:val="Heading2"/>
      </w:pPr>
      <w:r>
        <w:t>3.2 Mission</w:t>
      </w:r>
    </w:p>
    <w:p>
      <w:r>
        <w:t>sealingAI macht Dichtungswissen zugänglich, übersetzt reale Anwendungen in strukturierte Fälle, verbindet geprüfte Evidenz mit Engineering und führt Nutzer zur fachlich richtigen nächsten Aktion – ohne Scheinsicherheit und ohne die finale Verantwortung des Menschen zu verdrängen.</w:t>
      </w:r>
    </w:p>
    <w:p>
      <w:pPr>
        <w:pStyle w:val="Heading2"/>
      </w:pPr>
      <w:r>
        <w:t>3.3 Purpose</w:t>
      </w:r>
    </w:p>
    <w:p>
      <w:r>
        <w:t>Dichtungstechnik ist Erfahrungswissenschaft. sealingAI bewahrt diese Erfahrung nicht als unprüfbare Anekdote, sondern überführt sie in strukturierte, quellenbezogene und kontrolliert wiederverwendbare Erkenntnisse.</w:t>
      </w:r>
    </w:p>
    <w:p>
      <w:pPr>
        <w:pStyle w:val="Heading2"/>
      </w:pPr>
      <w:r>
        <w:t>3.4 Strategische Identität</w:t>
      </w:r>
    </w:p>
    <w:p>
      <w:pPr>
        <w:pStyle w:val="ListBullet"/>
        <w:spacing w:after="40"/>
      </w:pPr>
      <w:r>
        <w:t>herstellerneutral, aber herstellerintegrierend</w:t>
      </w:r>
    </w:p>
    <w:p>
      <w:pPr>
        <w:pStyle w:val="ListBullet"/>
        <w:spacing w:after="40"/>
      </w:pPr>
      <w:r>
        <w:t>ingenieurorientiert, aber für unterschiedliche Rollen verständlich</w:t>
      </w:r>
    </w:p>
    <w:p>
      <w:pPr>
        <w:pStyle w:val="ListBullet"/>
        <w:spacing w:after="40"/>
      </w:pPr>
      <w:r>
        <w:t>quellenbasiert, aber nicht auf Dokumentensuche reduziert</w:t>
      </w:r>
    </w:p>
    <w:p>
      <w:pPr>
        <w:pStyle w:val="ListBullet"/>
        <w:spacing w:after="40"/>
      </w:pPr>
      <w:r>
        <w:t>entscheidungsunterstützend, aber keine Freigabeinstanz</w:t>
      </w:r>
    </w:p>
    <w:p>
      <w:pPr>
        <w:pStyle w:val="ListBullet"/>
        <w:spacing w:after="40"/>
      </w:pPr>
      <w:r>
        <w:t>360° im Zielmodell, Depth-first in der Umsetzung</w:t>
      </w:r>
    </w:p>
    <w:p>
      <w:pPr>
        <w:pStyle w:val="ListBullet"/>
        <w:spacing w:after="40"/>
      </w:pPr>
      <w:r>
        <w:t>dialogfähig, aber nicht LLM-zentriert</w:t>
      </w:r>
    </w:p>
    <w:p>
      <w:pPr>
        <w:pStyle w:val="ListBullet"/>
        <w:spacing w:after="40"/>
      </w:pPr>
      <w:r>
        <w:t>kommerziell skalierbar, ohne technischen Fit käuflich zu machen</w:t>
      </w:r>
    </w:p>
    <w:p>
      <w:r>
        <w:br w:type="page"/>
      </w:r>
    </w:p>
    <w:p>
      <w:pPr>
        <w:pStyle w:val="Heading1"/>
      </w:pPr>
      <w:r>
        <w:t>4. 360°-Geltungsbereich und Reifegradmodell</w:t>
      </w:r>
    </w:p>
    <w:p>
      <w:pPr>
        <w:pStyle w:val="Heading2"/>
      </w:pPr>
      <w:r>
        <w:t>4.1 Definition</w:t>
      </w:r>
    </w:p>
    <w:p>
      <w:r>
        <w:t>360° bedeutet, dass der vollständige fachliche Lebenszyklus der industriellen Dichtungstechnik im Datenmodell, in den Domänen und in den Nutzerpfaden vorgesehen ist: Wissen, Werkstoffe, Medien, Engineering, Auswahl, Montage, Schaden, Normen, Hersteller, Beschaffung, Freigabe, Asset-Historie und Feldergebnis.</w:t>
      </w:r>
    </w:p>
    <w:p>
      <w:r>
        <w:t>360° bedeutet ausdrücklich nicht, dass alle Themen heute bereits in gleicher Tiefe verfügbar sind. Jede Oberfläche und jeder externe Claim muss den tatsächlichen Reifegrad sichtbar machen.</w:t>
      </w:r>
    </w:p>
    <w:p>
      <w:pPr>
        <w:pStyle w:val="Heading2"/>
      </w:pPr>
      <w:r>
        <w:t>4.2 Reifegradstufen</w:t>
      </w:r>
    </w:p>
    <w:tbl>
      <w:tblPr>
        <w:tblStyle w:val="TableGrid"/>
        <w:tblW w:type="auto" w:w="0"/>
        <w:jc w:val="center"/>
        <w:tblLook w:firstColumn="1" w:firstRow="1" w:lastColumn="0" w:lastRow="0" w:noHBand="0" w:noVBand="1" w:val="04A0"/>
      </w:tblPr>
      <w:tblGrid>
        <w:gridCol w:w="3286"/>
        <w:gridCol w:w="3286"/>
        <w:gridCol w:w="3286"/>
      </w:tblGrid>
      <w:tr>
        <w:tc>
          <w:tcPr>
            <w:tcW w:type="dxa" w:w="1701"/>
            <w:shd w:fill="17324D"/>
            <w:tcMar>
              <w:top w:w="90" w:type="dxa"/>
              <w:start w:w="90" w:type="dxa"/>
              <w:bottom w:w="90" w:type="dxa"/>
              <w:end w:w="90" w:type="dxa"/>
            </w:tcMar>
            <w:vAlign w:val="center"/>
          </w:tcPr>
          <w:p>
            <w:pPr>
              <w:jc w:val="left"/>
            </w:pPr>
            <w:r>
              <w:rPr>
                <w:b/>
                <w:color w:val="FFFFFF"/>
                <w:sz w:val="17"/>
              </w:rPr>
              <w:t>Stufe</w:t>
            </w:r>
          </w:p>
        </w:tc>
        <w:tc>
          <w:tcPr>
            <w:tcW w:type="dxa" w:w="4535"/>
            <w:shd w:fill="17324D"/>
            <w:tcMar>
              <w:top w:w="90" w:type="dxa"/>
              <w:start w:w="90" w:type="dxa"/>
              <w:bottom w:w="90" w:type="dxa"/>
              <w:end w:w="90" w:type="dxa"/>
            </w:tcMar>
            <w:vAlign w:val="center"/>
          </w:tcPr>
          <w:p>
            <w:pPr>
              <w:jc w:val="left"/>
            </w:pPr>
            <w:r>
              <w:rPr>
                <w:b/>
                <w:color w:val="FFFFFF"/>
                <w:sz w:val="17"/>
              </w:rPr>
              <w:t>Definition</w:t>
            </w:r>
          </w:p>
        </w:tc>
        <w:tc>
          <w:tcPr>
            <w:tcW w:type="dxa" w:w="3175"/>
            <w:shd w:fill="17324D"/>
            <w:tcMar>
              <w:top w:w="90" w:type="dxa"/>
              <w:start w:w="90" w:type="dxa"/>
              <w:bottom w:w="90" w:type="dxa"/>
              <w:end w:w="90" w:type="dxa"/>
            </w:tcMar>
            <w:vAlign w:val="center"/>
          </w:tcPr>
          <w:p>
            <w:pPr>
              <w:jc w:val="left"/>
            </w:pPr>
            <w:r>
              <w:rPr>
                <w:b/>
                <w:color w:val="FFFFFF"/>
                <w:sz w:val="17"/>
              </w:rPr>
              <w:t>Externe Darstellung</w:t>
            </w:r>
          </w:p>
        </w:tc>
      </w:tr>
      <w:tr>
        <w:trPr>
          <w:trHeight w:hRule="atLeast"/>
        </w:trPr>
        <w:tc>
          <w:tcPr>
            <w:tcW w:type="dxa" w:w="1701"/>
            <w:tcMar>
              <w:top w:w="90" w:type="dxa"/>
              <w:start w:w="90" w:type="dxa"/>
              <w:bottom w:w="90" w:type="dxa"/>
              <w:end w:w="90" w:type="dxa"/>
            </w:tcMar>
            <w:vAlign w:val="top"/>
          </w:tcPr>
          <w:p>
            <w:r>
              <w:rPr>
                <w:b/>
                <w:color w:val="002A5B"/>
                <w:sz w:val="17"/>
              </w:rPr>
              <w:t>Geprüft verfügbar</w:t>
            </w:r>
          </w:p>
        </w:tc>
        <w:tc>
          <w:tcPr>
            <w:tcW w:type="dxa" w:w="4535"/>
            <w:tcMar>
              <w:top w:w="90" w:type="dxa"/>
              <w:start w:w="90" w:type="dxa"/>
              <w:bottom w:w="90" w:type="dxa"/>
              <w:end w:w="90" w:type="dxa"/>
            </w:tcMar>
            <w:vAlign w:val="top"/>
          </w:tcPr>
          <w:p>
            <w:r>
              <w:rPr>
                <w:sz w:val="17"/>
              </w:rPr>
              <w:t>Fachlich reviewed, getestet, produktiv freigegeben</w:t>
            </w:r>
          </w:p>
        </w:tc>
        <w:tc>
          <w:tcPr>
            <w:tcW w:type="dxa" w:w="3175"/>
            <w:tcMar>
              <w:top w:w="90" w:type="dxa"/>
              <w:start w:w="90" w:type="dxa"/>
              <w:bottom w:w="90" w:type="dxa"/>
              <w:end w:w="90" w:type="dxa"/>
            </w:tcMar>
            <w:vAlign w:val="top"/>
          </w:tcPr>
          <w:p>
            <w:r>
              <w:rPr>
                <w:sz w:val="17"/>
              </w:rPr>
              <w:t>Ohne Zusatz oder als geprüft gekennzeichnet</w:t>
            </w:r>
          </w:p>
        </w:tc>
      </w:tr>
      <w:tr>
        <w:trPr>
          <w:trHeight w:hRule="atLeast"/>
        </w:trPr>
        <w:tc>
          <w:tcPr>
            <w:tcW w:type="dxa" w:w="1701"/>
            <w:tcMar>
              <w:top w:w="90" w:type="dxa"/>
              <w:start w:w="90" w:type="dxa"/>
              <w:bottom w:w="90" w:type="dxa"/>
              <w:end w:w="90" w:type="dxa"/>
            </w:tcMar>
            <w:vAlign w:val="top"/>
          </w:tcPr>
          <w:p>
            <w:r>
              <w:rPr>
                <w:b/>
                <w:color w:val="002A5B"/>
                <w:sz w:val="17"/>
              </w:rPr>
              <w:t>Beta</w:t>
            </w:r>
          </w:p>
        </w:tc>
        <w:tc>
          <w:tcPr>
            <w:tcW w:type="dxa" w:w="4535"/>
            <w:tcMar>
              <w:top w:w="90" w:type="dxa"/>
              <w:start w:w="90" w:type="dxa"/>
              <w:bottom w:w="90" w:type="dxa"/>
              <w:end w:w="90" w:type="dxa"/>
            </w:tcMar>
            <w:vAlign w:val="top"/>
          </w:tcPr>
          <w:p>
            <w:r>
              <w:rPr>
                <w:sz w:val="17"/>
              </w:rPr>
              <w:t>Funktional, kontrolliert verfügbar, begrenzte Coverage</w:t>
            </w:r>
          </w:p>
        </w:tc>
        <w:tc>
          <w:tcPr>
            <w:tcW w:type="dxa" w:w="3175"/>
            <w:tcMar>
              <w:top w:w="90" w:type="dxa"/>
              <w:start w:w="90" w:type="dxa"/>
              <w:bottom w:w="90" w:type="dxa"/>
              <w:end w:w="90" w:type="dxa"/>
            </w:tcMar>
            <w:vAlign w:val="top"/>
          </w:tcPr>
          <w:p>
            <w:r>
              <w:rPr>
                <w:sz w:val="17"/>
              </w:rPr>
              <w:t>Beta und Coverage sichtbar</w:t>
            </w:r>
          </w:p>
        </w:tc>
      </w:tr>
      <w:tr>
        <w:trPr>
          <w:trHeight w:hRule="atLeast"/>
        </w:trPr>
        <w:tc>
          <w:tcPr>
            <w:tcW w:type="dxa" w:w="1701"/>
            <w:tcMar>
              <w:top w:w="90" w:type="dxa"/>
              <w:start w:w="90" w:type="dxa"/>
              <w:bottom w:w="90" w:type="dxa"/>
              <w:end w:w="90" w:type="dxa"/>
            </w:tcMar>
            <w:vAlign w:val="top"/>
          </w:tcPr>
          <w:p>
            <w:r>
              <w:rPr>
                <w:b/>
                <w:color w:val="002A5B"/>
                <w:sz w:val="17"/>
              </w:rPr>
              <w:t>Pilot</w:t>
            </w:r>
          </w:p>
        </w:tc>
        <w:tc>
          <w:tcPr>
            <w:tcW w:type="dxa" w:w="4535"/>
            <w:tcMar>
              <w:top w:w="90" w:type="dxa"/>
              <w:start w:w="90" w:type="dxa"/>
              <w:bottom w:w="90" w:type="dxa"/>
              <w:end w:w="90" w:type="dxa"/>
            </w:tcMar>
            <w:vAlign w:val="top"/>
          </w:tcPr>
          <w:p>
            <w:r>
              <w:rPr>
                <w:sz w:val="17"/>
              </w:rPr>
              <w:t>Nur für ausgewählte Nutzer/Fälle, manuelle Begleitung</w:t>
            </w:r>
          </w:p>
        </w:tc>
        <w:tc>
          <w:tcPr>
            <w:tcW w:type="dxa" w:w="3175"/>
            <w:tcMar>
              <w:top w:w="90" w:type="dxa"/>
              <w:start w:w="90" w:type="dxa"/>
              <w:bottom w:w="90" w:type="dxa"/>
              <w:end w:w="90" w:type="dxa"/>
            </w:tcMar>
            <w:vAlign w:val="top"/>
          </w:tcPr>
          <w:p>
            <w:r>
              <w:rPr>
                <w:sz w:val="17"/>
              </w:rPr>
              <w:t>Pilot</w:t>
            </w:r>
          </w:p>
        </w:tc>
      </w:tr>
      <w:tr>
        <w:trPr>
          <w:trHeight w:hRule="atLeast"/>
        </w:trPr>
        <w:tc>
          <w:tcPr>
            <w:tcW w:type="dxa" w:w="1701"/>
            <w:tcMar>
              <w:top w:w="90" w:type="dxa"/>
              <w:start w:w="90" w:type="dxa"/>
              <w:bottom w:w="90" w:type="dxa"/>
              <w:end w:w="90" w:type="dxa"/>
            </w:tcMar>
            <w:vAlign w:val="top"/>
          </w:tcPr>
          <w:p>
            <w:r>
              <w:rPr>
                <w:b/>
                <w:color w:val="002A5B"/>
                <w:sz w:val="17"/>
              </w:rPr>
              <w:t>Im Aufbau</w:t>
            </w:r>
          </w:p>
        </w:tc>
        <w:tc>
          <w:tcPr>
            <w:tcW w:type="dxa" w:w="4535"/>
            <w:tcMar>
              <w:top w:w="90" w:type="dxa"/>
              <w:start w:w="90" w:type="dxa"/>
              <w:bottom w:w="90" w:type="dxa"/>
              <w:end w:w="90" w:type="dxa"/>
            </w:tcMar>
            <w:vAlign w:val="top"/>
          </w:tcPr>
          <w:p>
            <w:r>
              <w:rPr>
                <w:sz w:val="17"/>
              </w:rPr>
              <w:t>Konzept oder Implementierung vorhanden, nicht freigegeben</w:t>
            </w:r>
          </w:p>
        </w:tc>
        <w:tc>
          <w:tcPr>
            <w:tcW w:type="dxa" w:w="3175"/>
            <w:tcMar>
              <w:top w:w="90" w:type="dxa"/>
              <w:start w:w="90" w:type="dxa"/>
              <w:bottom w:w="90" w:type="dxa"/>
              <w:end w:w="90" w:type="dxa"/>
            </w:tcMar>
            <w:vAlign w:val="top"/>
          </w:tcPr>
          <w:p>
            <w:r>
              <w:rPr>
                <w:sz w:val="17"/>
              </w:rPr>
              <w:t>Im Aufbau</w:t>
            </w:r>
          </w:p>
        </w:tc>
      </w:tr>
      <w:tr>
        <w:trPr>
          <w:trHeight w:hRule="atLeast"/>
        </w:trPr>
        <w:tc>
          <w:tcPr>
            <w:tcW w:type="dxa" w:w="1701"/>
            <w:tcMar>
              <w:top w:w="90" w:type="dxa"/>
              <w:start w:w="90" w:type="dxa"/>
              <w:bottom w:w="90" w:type="dxa"/>
              <w:end w:w="90" w:type="dxa"/>
            </w:tcMar>
            <w:vAlign w:val="top"/>
          </w:tcPr>
          <w:p>
            <w:r>
              <w:rPr>
                <w:b/>
                <w:color w:val="002A5B"/>
                <w:sz w:val="17"/>
              </w:rPr>
              <w:t>Geplant</w:t>
            </w:r>
          </w:p>
        </w:tc>
        <w:tc>
          <w:tcPr>
            <w:tcW w:type="dxa" w:w="4535"/>
            <w:tcMar>
              <w:top w:w="90" w:type="dxa"/>
              <w:start w:w="90" w:type="dxa"/>
              <w:bottom w:w="90" w:type="dxa"/>
              <w:end w:w="90" w:type="dxa"/>
            </w:tcMar>
            <w:vAlign w:val="top"/>
          </w:tcPr>
          <w:p>
            <w:r>
              <w:rPr>
                <w:sz w:val="17"/>
              </w:rPr>
              <w:t>In SSoT vorgesehen, noch nicht umgesetzt</w:t>
            </w:r>
          </w:p>
        </w:tc>
        <w:tc>
          <w:tcPr>
            <w:tcW w:type="dxa" w:w="3175"/>
            <w:tcMar>
              <w:top w:w="90" w:type="dxa"/>
              <w:start w:w="90" w:type="dxa"/>
              <w:bottom w:w="90" w:type="dxa"/>
              <w:end w:w="90" w:type="dxa"/>
            </w:tcMar>
            <w:vAlign w:val="top"/>
          </w:tcPr>
          <w:p>
            <w:r>
              <w:rPr>
                <w:sz w:val="17"/>
              </w:rPr>
              <w:t>Geplant</w:t>
            </w:r>
          </w:p>
        </w:tc>
      </w:tr>
      <w:tr>
        <w:trPr>
          <w:trHeight w:hRule="atLeast"/>
        </w:trPr>
        <w:tc>
          <w:tcPr>
            <w:tcW w:type="dxa" w:w="1701"/>
            <w:tcMar>
              <w:top w:w="90" w:type="dxa"/>
              <w:start w:w="90" w:type="dxa"/>
              <w:bottom w:w="90" w:type="dxa"/>
              <w:end w:w="90" w:type="dxa"/>
            </w:tcMar>
            <w:vAlign w:val="top"/>
          </w:tcPr>
          <w:p>
            <w:r>
              <w:rPr>
                <w:b/>
                <w:color w:val="002A5B"/>
                <w:sz w:val="17"/>
              </w:rPr>
              <w:t>Außer Scope</w:t>
            </w:r>
          </w:p>
        </w:tc>
        <w:tc>
          <w:tcPr>
            <w:tcW w:type="dxa" w:w="4535"/>
            <w:tcMar>
              <w:top w:w="90" w:type="dxa"/>
              <w:start w:w="90" w:type="dxa"/>
              <w:bottom w:w="90" w:type="dxa"/>
              <w:end w:w="90" w:type="dxa"/>
            </w:tcMar>
            <w:vAlign w:val="top"/>
          </w:tcPr>
          <w:p>
            <w:r>
              <w:rPr>
                <w:sz w:val="17"/>
              </w:rPr>
              <w:t>Bewusst nicht Teil des aktuellen Produkts</w:t>
            </w:r>
          </w:p>
        </w:tc>
        <w:tc>
          <w:tcPr>
            <w:tcW w:type="dxa" w:w="3175"/>
            <w:tcMar>
              <w:top w:w="90" w:type="dxa"/>
              <w:start w:w="90" w:type="dxa"/>
              <w:bottom w:w="90" w:type="dxa"/>
              <w:end w:w="90" w:type="dxa"/>
            </w:tcMar>
            <w:vAlign w:val="top"/>
          </w:tcPr>
          <w:p>
            <w:r>
              <w:rPr>
                <w:sz w:val="17"/>
              </w:rPr>
              <w:t>Klare Abgrenzung</w:t>
            </w:r>
          </w:p>
        </w:tc>
      </w:tr>
    </w:tbl>
    <w:p/>
    <w:p>
      <w:pPr>
        <w:pStyle w:val="Heading2"/>
      </w:pPr>
      <w:r>
        <w:t>4.3 Fachlicher Kernbereich</w:t>
      </w:r>
    </w:p>
    <w:p>
      <w:pPr>
        <w:pStyle w:val="ListBullet"/>
        <w:spacing w:after="40"/>
      </w:pPr>
      <w:r>
        <w:t>statische Elastomer- und Polymerdichtungen</w:t>
      </w:r>
    </w:p>
    <w:p>
      <w:pPr>
        <w:pStyle w:val="ListBullet"/>
        <w:spacing w:after="40"/>
      </w:pPr>
      <w:r>
        <w:t>O-Ringe, Form- und Profildichtungen</w:t>
      </w:r>
    </w:p>
    <w:p>
      <w:pPr>
        <w:pStyle w:val="ListBullet"/>
        <w:spacing w:after="40"/>
      </w:pPr>
      <w:r>
        <w:t>Radialwellendichtringe und rotierende Lippendichtungen</w:t>
      </w:r>
    </w:p>
    <w:p>
      <w:pPr>
        <w:pStyle w:val="ListBullet"/>
        <w:spacing w:after="40"/>
      </w:pPr>
      <w:r>
        <w:t>Hydraulik- und Pneumatikdichtungen</w:t>
      </w:r>
    </w:p>
    <w:p>
      <w:pPr>
        <w:pStyle w:val="ListBullet"/>
        <w:spacing w:after="40"/>
      </w:pPr>
      <w:r>
        <w:t>Flachdichtungen und Flanschsysteme</w:t>
      </w:r>
    </w:p>
    <w:p>
      <w:pPr>
        <w:pStyle w:val="ListBullet"/>
        <w:spacing w:after="40"/>
      </w:pPr>
      <w:r>
        <w:t>Gleitringdichtungen und Versorgungssysteme</w:t>
      </w:r>
    </w:p>
    <w:p>
      <w:pPr>
        <w:pStyle w:val="ListBullet"/>
        <w:spacing w:after="40"/>
      </w:pPr>
      <w:r>
        <w:t>Packungen, Kompensatoren und Spezialdichtungen</w:t>
      </w:r>
    </w:p>
    <w:p>
      <w:pPr>
        <w:pStyle w:val="ListBullet"/>
        <w:spacing w:after="40"/>
      </w:pPr>
      <w:r>
        <w:t>Werkstoffe, Compounds, Medien, Tribologie, Gegenkörper und Oberflächen</w:t>
      </w:r>
    </w:p>
    <w:p>
      <w:pPr>
        <w:pStyle w:val="ListBullet"/>
        <w:spacing w:after="40"/>
      </w:pPr>
      <w:r>
        <w:t>Konstruktion, Berechnung, Montage, Betrieb, Schaden und Root Cause</w:t>
      </w:r>
    </w:p>
    <w:p>
      <w:pPr>
        <w:pStyle w:val="ListBullet"/>
        <w:spacing w:after="40"/>
      </w:pPr>
      <w:r>
        <w:t>Normen, Regulatorik, Zulassungen, Nachweise und Traceability</w:t>
      </w:r>
    </w:p>
    <w:p>
      <w:pPr>
        <w:pStyle w:val="ListBullet"/>
        <w:spacing w:after="40"/>
      </w:pPr>
      <w:r>
        <w:t>Herstellerkompetenzen, Produkte, Substitution und technische Beschaffung</w:t>
      </w:r>
    </w:p>
    <w:p>
      <w:pPr>
        <w:pStyle w:val="Heading2"/>
      </w:pPr>
      <w:r>
        <w:t>4.4 Abgrenzung</w:t>
      </w:r>
    </w:p>
    <w:p>
      <w:r>
        <w:t>Bauwerksabdichtung, Dach, Fensterfugen, allgemeine Kleb- und Dichtstoffe, Verpackungsdichtheit oder elektromagnetische Abschirmung sind keine automatische Kernabdeckung. Sie können später als separate Domänen ergänzt werden, dürfen aber nicht die Tiefe der industriellen Fluid-Sealing-Technik verwässern.</w:t>
      </w:r>
    </w:p>
    <w:p>
      <w:r>
        <w:br w:type="page"/>
      </w:r>
    </w:p>
    <w:p>
      <w:pPr>
        <w:pStyle w:val="Heading1"/>
      </w:pPr>
      <w:r>
        <w:t>5. Zielgruppen und Jobs-to-be-Done</w:t>
      </w:r>
    </w:p>
    <w:tbl>
      <w:tblPr>
        <w:tblStyle w:val="TableGrid"/>
        <w:tblW w:type="auto" w:w="0"/>
        <w:jc w:val="center"/>
        <w:tblLook w:firstColumn="1" w:firstRow="1" w:lastColumn="0" w:lastRow="0" w:noHBand="0" w:noVBand="1" w:val="04A0"/>
      </w:tblPr>
      <w:tblGrid>
        <w:gridCol w:w="3286"/>
        <w:gridCol w:w="3286"/>
        <w:gridCol w:w="3286"/>
      </w:tblGrid>
      <w:tr>
        <w:tc>
          <w:tcPr>
            <w:tcW w:type="dxa" w:w="1928"/>
            <w:shd w:fill="17324D"/>
            <w:tcMar>
              <w:top w:w="90" w:type="dxa"/>
              <w:start w:w="90" w:type="dxa"/>
              <w:bottom w:w="90" w:type="dxa"/>
              <w:end w:w="90" w:type="dxa"/>
            </w:tcMar>
            <w:vAlign w:val="center"/>
          </w:tcPr>
          <w:p>
            <w:pPr>
              <w:jc w:val="left"/>
            </w:pPr>
            <w:r>
              <w:rPr>
                <w:b/>
                <w:color w:val="FFFFFF"/>
                <w:sz w:val="16"/>
              </w:rPr>
              <w:t>Rolle</w:t>
            </w:r>
          </w:p>
        </w:tc>
        <w:tc>
          <w:tcPr>
            <w:tcW w:type="dxa" w:w="4082"/>
            <w:shd w:fill="17324D"/>
            <w:tcMar>
              <w:top w:w="90" w:type="dxa"/>
              <w:start w:w="90" w:type="dxa"/>
              <w:bottom w:w="90" w:type="dxa"/>
              <w:end w:w="90" w:type="dxa"/>
            </w:tcMar>
            <w:vAlign w:val="center"/>
          </w:tcPr>
          <w:p>
            <w:pPr>
              <w:jc w:val="left"/>
            </w:pPr>
            <w:r>
              <w:rPr>
                <w:b/>
                <w:color w:val="FFFFFF"/>
                <w:sz w:val="16"/>
              </w:rPr>
              <w:t>Primärer Job</w:t>
            </w:r>
          </w:p>
        </w:tc>
        <w:tc>
          <w:tcPr>
            <w:tcW w:type="dxa" w:w="3402"/>
            <w:shd w:fill="17324D"/>
            <w:tcMar>
              <w:top w:w="90" w:type="dxa"/>
              <w:start w:w="90" w:type="dxa"/>
              <w:bottom w:w="90" w:type="dxa"/>
              <w:end w:w="90" w:type="dxa"/>
            </w:tcMar>
            <w:vAlign w:val="center"/>
          </w:tcPr>
          <w:p>
            <w:pPr>
              <w:jc w:val="left"/>
            </w:pPr>
            <w:r>
              <w:rPr>
                <w:b/>
                <w:color w:val="FFFFFF"/>
                <w:sz w:val="16"/>
              </w:rPr>
              <w:t>Erwarteter Output</w:t>
            </w:r>
          </w:p>
        </w:tc>
      </w:tr>
      <w:tr>
        <w:trPr>
          <w:trHeight w:hRule="atLeast"/>
        </w:trPr>
        <w:tc>
          <w:tcPr>
            <w:tcW w:type="dxa" w:w="1928"/>
            <w:tcMar>
              <w:top w:w="90" w:type="dxa"/>
              <w:start w:w="90" w:type="dxa"/>
              <w:bottom w:w="90" w:type="dxa"/>
              <w:end w:w="90" w:type="dxa"/>
            </w:tcMar>
            <w:vAlign w:val="top"/>
          </w:tcPr>
          <w:p>
            <w:r>
              <w:rPr>
                <w:sz w:val="16"/>
              </w:rPr>
              <w:t>Konstruktion/Engineering</w:t>
            </w:r>
          </w:p>
        </w:tc>
        <w:tc>
          <w:tcPr>
            <w:tcW w:type="dxa" w:w="4082"/>
            <w:tcMar>
              <w:top w:w="90" w:type="dxa"/>
              <w:start w:w="90" w:type="dxa"/>
              <w:bottom w:w="90" w:type="dxa"/>
              <w:end w:w="90" w:type="dxa"/>
            </w:tcMar>
            <w:vAlign w:val="top"/>
          </w:tcPr>
          <w:p>
            <w:r>
              <w:rPr>
                <w:sz w:val="16"/>
              </w:rPr>
              <w:t>Dichtungsprinzip, Werkstoff und Geometrie fachlich einordnen</w:t>
            </w:r>
          </w:p>
        </w:tc>
        <w:tc>
          <w:tcPr>
            <w:tcW w:type="dxa" w:w="3402"/>
            <w:tcMar>
              <w:top w:w="90" w:type="dxa"/>
              <w:start w:w="90" w:type="dxa"/>
              <w:bottom w:w="90" w:type="dxa"/>
              <w:end w:w="90" w:type="dxa"/>
            </w:tcMar>
            <w:vAlign w:val="top"/>
          </w:tcPr>
          <w:p>
            <w:r>
              <w:rPr>
                <w:sz w:val="16"/>
              </w:rPr>
              <w:t>Vergleich, Berechnung, Spezifikation, offene Prüfpunkte</w:t>
            </w:r>
          </w:p>
        </w:tc>
      </w:tr>
      <w:tr>
        <w:trPr>
          <w:trHeight w:hRule="atLeast"/>
        </w:trPr>
        <w:tc>
          <w:tcPr>
            <w:tcW w:type="dxa" w:w="1928"/>
            <w:tcMar>
              <w:top w:w="90" w:type="dxa"/>
              <w:start w:w="90" w:type="dxa"/>
              <w:bottom w:w="90" w:type="dxa"/>
              <w:end w:w="90" w:type="dxa"/>
            </w:tcMar>
            <w:vAlign w:val="top"/>
          </w:tcPr>
          <w:p>
            <w:r>
              <w:rPr>
                <w:sz w:val="16"/>
              </w:rPr>
              <w:t>Instandhaltung</w:t>
            </w:r>
          </w:p>
        </w:tc>
        <w:tc>
          <w:tcPr>
            <w:tcW w:type="dxa" w:w="4082"/>
            <w:tcMar>
              <w:top w:w="90" w:type="dxa"/>
              <w:start w:w="90" w:type="dxa"/>
              <w:bottom w:w="90" w:type="dxa"/>
              <w:end w:w="90" w:type="dxa"/>
            </w:tcMar>
            <w:vAlign w:val="top"/>
          </w:tcPr>
          <w:p>
            <w:r>
              <w:rPr>
                <w:sz w:val="16"/>
              </w:rPr>
              <w:t>Schaden schnell verstehen und nächste Prüfung festlegen</w:t>
            </w:r>
          </w:p>
        </w:tc>
        <w:tc>
          <w:tcPr>
            <w:tcW w:type="dxa" w:w="3402"/>
            <w:tcMar>
              <w:top w:w="90" w:type="dxa"/>
              <w:start w:w="90" w:type="dxa"/>
              <w:bottom w:w="90" w:type="dxa"/>
              <w:end w:w="90" w:type="dxa"/>
            </w:tcMar>
            <w:vAlign w:val="top"/>
          </w:tcPr>
          <w:p>
            <w:r>
              <w:rPr>
                <w:sz w:val="16"/>
              </w:rPr>
              <w:t>Hypothesen, Prüfplan, Ersatz-/Herstellerbriefing</w:t>
            </w:r>
          </w:p>
        </w:tc>
      </w:tr>
      <w:tr>
        <w:trPr>
          <w:trHeight w:hRule="atLeast"/>
        </w:trPr>
        <w:tc>
          <w:tcPr>
            <w:tcW w:type="dxa" w:w="1928"/>
            <w:tcMar>
              <w:top w:w="90" w:type="dxa"/>
              <w:start w:w="90" w:type="dxa"/>
              <w:bottom w:w="90" w:type="dxa"/>
              <w:end w:w="90" w:type="dxa"/>
            </w:tcMar>
            <w:vAlign w:val="top"/>
          </w:tcPr>
          <w:p>
            <w:r>
              <w:rPr>
                <w:sz w:val="16"/>
              </w:rPr>
              <w:t>Anwendungstechnik</w:t>
            </w:r>
          </w:p>
        </w:tc>
        <w:tc>
          <w:tcPr>
            <w:tcW w:type="dxa" w:w="4082"/>
            <w:tcMar>
              <w:top w:w="90" w:type="dxa"/>
              <w:start w:w="90" w:type="dxa"/>
              <w:bottom w:w="90" w:type="dxa"/>
              <w:end w:w="90" w:type="dxa"/>
            </w:tcMar>
            <w:vAlign w:val="top"/>
          </w:tcPr>
          <w:p>
            <w:r>
              <w:rPr>
                <w:sz w:val="16"/>
              </w:rPr>
              <w:t>Komplexe Fälle effizient vorqualifizieren</w:t>
            </w:r>
          </w:p>
        </w:tc>
        <w:tc>
          <w:tcPr>
            <w:tcW w:type="dxa" w:w="3402"/>
            <w:tcMar>
              <w:top w:w="90" w:type="dxa"/>
              <w:start w:w="90" w:type="dxa"/>
              <w:bottom w:w="90" w:type="dxa"/>
              <w:end w:w="90" w:type="dxa"/>
            </w:tcMar>
            <w:vAlign w:val="top"/>
          </w:tcPr>
          <w:p>
            <w:r>
              <w:rPr>
                <w:sz w:val="16"/>
              </w:rPr>
              <w:t>Vollständiger Fall, Quellen, Risiken, Entscheidungsdokument</w:t>
            </w:r>
          </w:p>
        </w:tc>
      </w:tr>
      <w:tr>
        <w:trPr>
          <w:trHeight w:hRule="atLeast"/>
        </w:trPr>
        <w:tc>
          <w:tcPr>
            <w:tcW w:type="dxa" w:w="1928"/>
            <w:tcMar>
              <w:top w:w="90" w:type="dxa"/>
              <w:start w:w="90" w:type="dxa"/>
              <w:bottom w:w="90" w:type="dxa"/>
              <w:end w:w="90" w:type="dxa"/>
            </w:tcMar>
            <w:vAlign w:val="top"/>
          </w:tcPr>
          <w:p>
            <w:r>
              <w:rPr>
                <w:sz w:val="16"/>
              </w:rPr>
              <w:t>Einkauf</w:t>
            </w:r>
          </w:p>
        </w:tc>
        <w:tc>
          <w:tcPr>
            <w:tcW w:type="dxa" w:w="4082"/>
            <w:tcMar>
              <w:top w:w="90" w:type="dxa"/>
              <w:start w:w="90" w:type="dxa"/>
              <w:bottom w:w="90" w:type="dxa"/>
              <w:end w:w="90" w:type="dxa"/>
            </w:tcMar>
            <w:vAlign w:val="top"/>
          </w:tcPr>
          <w:p>
            <w:r>
              <w:rPr>
                <w:sz w:val="16"/>
              </w:rPr>
              <w:t>Technisch vergleichbare Anfragen und Angebote erhalten</w:t>
            </w:r>
          </w:p>
        </w:tc>
        <w:tc>
          <w:tcPr>
            <w:tcW w:type="dxa" w:w="3402"/>
            <w:tcMar>
              <w:top w:w="90" w:type="dxa"/>
              <w:start w:w="90" w:type="dxa"/>
              <w:bottom w:w="90" w:type="dxa"/>
              <w:end w:w="90" w:type="dxa"/>
            </w:tcMar>
            <w:vAlign w:val="top"/>
          </w:tcPr>
          <w:p>
            <w:r>
              <w:rPr>
                <w:sz w:val="16"/>
              </w:rPr>
              <w:t>Gemeinsame technische Basis, Alternativen, Freigabestatus</w:t>
            </w:r>
          </w:p>
        </w:tc>
      </w:tr>
      <w:tr>
        <w:trPr>
          <w:trHeight w:hRule="atLeast"/>
        </w:trPr>
        <w:tc>
          <w:tcPr>
            <w:tcW w:type="dxa" w:w="1928"/>
            <w:tcMar>
              <w:top w:w="90" w:type="dxa"/>
              <w:start w:w="90" w:type="dxa"/>
              <w:bottom w:w="90" w:type="dxa"/>
              <w:end w:w="90" w:type="dxa"/>
            </w:tcMar>
            <w:vAlign w:val="top"/>
          </w:tcPr>
          <w:p>
            <w:r>
              <w:rPr>
                <w:sz w:val="16"/>
              </w:rPr>
              <w:t>Qualitätsmanagement</w:t>
            </w:r>
          </w:p>
        </w:tc>
        <w:tc>
          <w:tcPr>
            <w:tcW w:type="dxa" w:w="4082"/>
            <w:tcMar>
              <w:top w:w="90" w:type="dxa"/>
              <w:start w:w="90" w:type="dxa"/>
              <w:bottom w:w="90" w:type="dxa"/>
              <w:end w:w="90" w:type="dxa"/>
            </w:tcMar>
            <w:vAlign w:val="top"/>
          </w:tcPr>
          <w:p>
            <w:r>
              <w:rPr>
                <w:sz w:val="16"/>
              </w:rPr>
              <w:t>Nachweise, Abweichungen und Entscheidungen nachvollziehen</w:t>
            </w:r>
          </w:p>
        </w:tc>
        <w:tc>
          <w:tcPr>
            <w:tcW w:type="dxa" w:w="3402"/>
            <w:tcMar>
              <w:top w:w="90" w:type="dxa"/>
              <w:start w:w="90" w:type="dxa"/>
              <w:bottom w:w="90" w:type="dxa"/>
              <w:end w:w="90" w:type="dxa"/>
            </w:tcMar>
            <w:vAlign w:val="top"/>
          </w:tcPr>
          <w:p>
            <w:r>
              <w:rPr>
                <w:sz w:val="16"/>
              </w:rPr>
              <w:t>Audit Trail, Dokumente, 8D-/RCA-Bezug</w:t>
            </w:r>
          </w:p>
        </w:tc>
      </w:tr>
      <w:tr>
        <w:trPr>
          <w:trHeight w:hRule="atLeast"/>
        </w:trPr>
        <w:tc>
          <w:tcPr>
            <w:tcW w:type="dxa" w:w="1928"/>
            <w:tcMar>
              <w:top w:w="90" w:type="dxa"/>
              <w:start w:w="90" w:type="dxa"/>
              <w:bottom w:w="90" w:type="dxa"/>
              <w:end w:w="90" w:type="dxa"/>
            </w:tcMar>
            <w:vAlign w:val="top"/>
          </w:tcPr>
          <w:p>
            <w:r>
              <w:rPr>
                <w:sz w:val="16"/>
              </w:rPr>
              <w:t>Hersteller</w:t>
            </w:r>
          </w:p>
        </w:tc>
        <w:tc>
          <w:tcPr>
            <w:tcW w:type="dxa" w:w="4082"/>
            <w:tcMar>
              <w:top w:w="90" w:type="dxa"/>
              <w:start w:w="90" w:type="dxa"/>
              <w:bottom w:w="90" w:type="dxa"/>
              <w:end w:w="90" w:type="dxa"/>
            </w:tcMar>
            <w:vAlign w:val="top"/>
          </w:tcPr>
          <w:p>
            <w:r>
              <w:rPr>
                <w:sz w:val="16"/>
              </w:rPr>
              <w:t>Weniger Lead-Rauschen, mehr technische Substanz</w:t>
            </w:r>
          </w:p>
        </w:tc>
        <w:tc>
          <w:tcPr>
            <w:tcW w:type="dxa" w:w="3402"/>
            <w:tcMar>
              <w:top w:w="90" w:type="dxa"/>
              <w:start w:w="90" w:type="dxa"/>
              <w:bottom w:w="90" w:type="dxa"/>
              <w:end w:w="90" w:type="dxa"/>
            </w:tcMar>
            <w:vAlign w:val="top"/>
          </w:tcPr>
          <w:p>
            <w:r>
              <w:rPr>
                <w:sz w:val="16"/>
              </w:rPr>
              <w:t>Qualifizierte Fälle, offene Punkte, Capability Fit</w:t>
            </w:r>
          </w:p>
        </w:tc>
      </w:tr>
      <w:tr>
        <w:trPr>
          <w:trHeight w:hRule="atLeast"/>
        </w:trPr>
        <w:tc>
          <w:tcPr>
            <w:tcW w:type="dxa" w:w="1928"/>
            <w:tcMar>
              <w:top w:w="90" w:type="dxa"/>
              <w:start w:w="90" w:type="dxa"/>
              <w:bottom w:w="90" w:type="dxa"/>
              <w:end w:w="90" w:type="dxa"/>
            </w:tcMar>
            <w:vAlign w:val="top"/>
          </w:tcPr>
          <w:p>
            <w:r>
              <w:rPr>
                <w:sz w:val="16"/>
              </w:rPr>
              <w:t>Vertrieb/Händler</w:t>
            </w:r>
          </w:p>
        </w:tc>
        <w:tc>
          <w:tcPr>
            <w:tcW w:type="dxa" w:w="4082"/>
            <w:tcMar>
              <w:top w:w="90" w:type="dxa"/>
              <w:start w:w="90" w:type="dxa"/>
              <w:bottom w:w="90" w:type="dxa"/>
              <w:end w:w="90" w:type="dxa"/>
            </w:tcMar>
            <w:vAlign w:val="top"/>
          </w:tcPr>
          <w:p>
            <w:r>
              <w:rPr>
                <w:sz w:val="16"/>
              </w:rPr>
              <w:t>Kundenanfragen fachlich sauber aufnehmen</w:t>
            </w:r>
          </w:p>
        </w:tc>
        <w:tc>
          <w:tcPr>
            <w:tcW w:type="dxa" w:w="3402"/>
            <w:tcMar>
              <w:top w:w="90" w:type="dxa"/>
              <w:start w:w="90" w:type="dxa"/>
              <w:bottom w:w="90" w:type="dxa"/>
              <w:end w:w="90" w:type="dxa"/>
            </w:tcMar>
            <w:vAlign w:val="top"/>
          </w:tcPr>
          <w:p>
            <w:r>
              <w:rPr>
                <w:sz w:val="16"/>
              </w:rPr>
              <w:t>Strukturierte Intake- und Übergabedaten</w:t>
            </w:r>
          </w:p>
        </w:tc>
      </w:tr>
      <w:tr>
        <w:trPr>
          <w:trHeight w:hRule="atLeast"/>
        </w:trPr>
        <w:tc>
          <w:tcPr>
            <w:tcW w:type="dxa" w:w="1928"/>
            <w:tcMar>
              <w:top w:w="90" w:type="dxa"/>
              <w:start w:w="90" w:type="dxa"/>
              <w:bottom w:w="90" w:type="dxa"/>
              <w:end w:w="90" w:type="dxa"/>
            </w:tcMar>
            <w:vAlign w:val="top"/>
          </w:tcPr>
          <w:p>
            <w:r>
              <w:rPr>
                <w:sz w:val="16"/>
              </w:rPr>
              <w:t>Lernende/Fachfremde</w:t>
            </w:r>
          </w:p>
        </w:tc>
        <w:tc>
          <w:tcPr>
            <w:tcW w:type="dxa" w:w="4082"/>
            <w:tcMar>
              <w:top w:w="90" w:type="dxa"/>
              <w:start w:w="90" w:type="dxa"/>
              <w:bottom w:w="90" w:type="dxa"/>
              <w:end w:w="90" w:type="dxa"/>
            </w:tcMar>
            <w:vAlign w:val="top"/>
          </w:tcPr>
          <w:p>
            <w:r>
              <w:rPr>
                <w:sz w:val="16"/>
              </w:rPr>
              <w:t>Dichtungstechnik verständlich lernen</w:t>
            </w:r>
          </w:p>
        </w:tc>
        <w:tc>
          <w:tcPr>
            <w:tcW w:type="dxa" w:w="3402"/>
            <w:tcMar>
              <w:top w:w="90" w:type="dxa"/>
              <w:start w:w="90" w:type="dxa"/>
              <w:bottom w:w="90" w:type="dxa"/>
              <w:end w:w="90" w:type="dxa"/>
            </w:tcMar>
            <w:vAlign w:val="top"/>
          </w:tcPr>
          <w:p>
            <w:r>
              <w:rPr>
                <w:sz w:val="16"/>
              </w:rPr>
              <w:t>Erklärungen, Visualisierungen, Lernpfade</w:t>
            </w:r>
          </w:p>
        </w:tc>
      </w:tr>
      <w:tr>
        <w:trPr>
          <w:trHeight w:hRule="atLeast"/>
        </w:trPr>
        <w:tc>
          <w:tcPr>
            <w:tcW w:type="dxa" w:w="1928"/>
            <w:tcMar>
              <w:top w:w="90" w:type="dxa"/>
              <w:start w:w="90" w:type="dxa"/>
              <w:bottom w:w="90" w:type="dxa"/>
              <w:end w:w="90" w:type="dxa"/>
            </w:tcMar>
            <w:vAlign w:val="top"/>
          </w:tcPr>
          <w:p>
            <w:r>
              <w:rPr>
                <w:sz w:val="16"/>
              </w:rPr>
              <w:t>Betreiber/Management</w:t>
            </w:r>
          </w:p>
        </w:tc>
        <w:tc>
          <w:tcPr>
            <w:tcW w:type="dxa" w:w="4082"/>
            <w:tcMar>
              <w:top w:w="90" w:type="dxa"/>
              <w:start w:w="90" w:type="dxa"/>
              <w:bottom w:w="90" w:type="dxa"/>
              <w:end w:w="90" w:type="dxa"/>
            </w:tcMar>
            <w:vAlign w:val="top"/>
          </w:tcPr>
          <w:p>
            <w:r>
              <w:rPr>
                <w:sz w:val="16"/>
              </w:rPr>
              <w:t>Risiko, Aufwand und Wirkung verstehen</w:t>
            </w:r>
          </w:p>
        </w:tc>
        <w:tc>
          <w:tcPr>
            <w:tcW w:type="dxa" w:w="3402"/>
            <w:tcMar>
              <w:top w:w="90" w:type="dxa"/>
              <w:start w:w="90" w:type="dxa"/>
              <w:bottom w:w="90" w:type="dxa"/>
              <w:end w:w="90" w:type="dxa"/>
            </w:tcMar>
            <w:vAlign w:val="top"/>
          </w:tcPr>
          <w:p>
            <w:r>
              <w:rPr>
                <w:sz w:val="16"/>
              </w:rPr>
              <w:t>TCO-/Risikoperspektive, KPI und Governance</w:t>
            </w:r>
          </w:p>
        </w:tc>
      </w:tr>
    </w:tbl>
    <w:p/>
    <w:p>
      <w:r>
        <w:br w:type="page"/>
      </w:r>
    </w:p>
    <w:p>
      <w:pPr>
        <w:pStyle w:val="Heading1"/>
      </w:pPr>
      <w:r>
        <w:t>6. Nutzungsmodi und risikoadaptive Interaktion</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417"/>
            <w:shd w:fill="17324D"/>
            <w:tcMar>
              <w:top w:w="90" w:type="dxa"/>
              <w:start w:w="90" w:type="dxa"/>
              <w:bottom w:w="90" w:type="dxa"/>
              <w:end w:w="90" w:type="dxa"/>
            </w:tcMar>
            <w:vAlign w:val="center"/>
          </w:tcPr>
          <w:p>
            <w:pPr>
              <w:jc w:val="left"/>
            </w:pPr>
            <w:r>
              <w:rPr>
                <w:b/>
                <w:color w:val="FFFFFF"/>
                <w:sz w:val="16"/>
              </w:rPr>
              <w:t>Modus</w:t>
            </w:r>
          </w:p>
        </w:tc>
        <w:tc>
          <w:tcPr>
            <w:tcW w:type="dxa" w:w="2041"/>
            <w:shd w:fill="17324D"/>
            <w:tcMar>
              <w:top w:w="90" w:type="dxa"/>
              <w:start w:w="90" w:type="dxa"/>
              <w:bottom w:w="90" w:type="dxa"/>
              <w:end w:w="90" w:type="dxa"/>
            </w:tcMar>
            <w:vAlign w:val="center"/>
          </w:tcPr>
          <w:p>
            <w:pPr>
              <w:jc w:val="left"/>
            </w:pPr>
            <w:r>
              <w:rPr>
                <w:b/>
                <w:color w:val="FFFFFF"/>
                <w:sz w:val="16"/>
              </w:rPr>
              <w:t>Beispiel</w:t>
            </w:r>
          </w:p>
        </w:tc>
        <w:tc>
          <w:tcPr>
            <w:tcW w:type="dxa" w:w="3685"/>
            <w:shd w:fill="17324D"/>
            <w:tcMar>
              <w:top w:w="90" w:type="dxa"/>
              <w:start w:w="90" w:type="dxa"/>
              <w:bottom w:w="90" w:type="dxa"/>
              <w:end w:w="90" w:type="dxa"/>
            </w:tcMar>
            <w:vAlign w:val="center"/>
          </w:tcPr>
          <w:p>
            <w:pPr>
              <w:jc w:val="left"/>
            </w:pPr>
            <w:r>
              <w:rPr>
                <w:b/>
                <w:color w:val="FFFFFF"/>
                <w:sz w:val="16"/>
              </w:rPr>
              <w:t>Systemverhalten</w:t>
            </w:r>
          </w:p>
        </w:tc>
        <w:tc>
          <w:tcPr>
            <w:tcW w:type="dxa" w:w="2268"/>
            <w:shd w:fill="17324D"/>
            <w:tcMar>
              <w:top w:w="90" w:type="dxa"/>
              <w:start w:w="90" w:type="dxa"/>
              <w:bottom w:w="90" w:type="dxa"/>
              <w:end w:w="90" w:type="dxa"/>
            </w:tcMar>
            <w:vAlign w:val="center"/>
          </w:tcPr>
          <w:p>
            <w:pPr>
              <w:jc w:val="left"/>
            </w:pPr>
            <w:r>
              <w:rPr>
                <w:b/>
                <w:color w:val="FFFFFF"/>
                <w:sz w:val="16"/>
              </w:rPr>
              <w:t>Output</w:t>
            </w:r>
          </w:p>
        </w:tc>
      </w:tr>
      <w:tr>
        <w:trPr>
          <w:trHeight w:hRule="atLeast"/>
        </w:trPr>
        <w:tc>
          <w:tcPr>
            <w:tcW w:type="dxa" w:w="1417"/>
            <w:tcMar>
              <w:top w:w="90" w:type="dxa"/>
              <w:start w:w="90" w:type="dxa"/>
              <w:bottom w:w="90" w:type="dxa"/>
              <w:end w:w="90" w:type="dxa"/>
            </w:tcMar>
            <w:vAlign w:val="top"/>
          </w:tcPr>
          <w:p>
            <w:r>
              <w:rPr>
                <w:sz w:val="16"/>
              </w:rPr>
              <w:t>Wissen</w:t>
            </w:r>
          </w:p>
        </w:tc>
        <w:tc>
          <w:tcPr>
            <w:tcW w:type="dxa" w:w="2041"/>
            <w:tcMar>
              <w:top w:w="90" w:type="dxa"/>
              <w:start w:w="90" w:type="dxa"/>
              <w:bottom w:w="90" w:type="dxa"/>
              <w:end w:w="90" w:type="dxa"/>
            </w:tcMar>
            <w:vAlign w:val="top"/>
          </w:tcPr>
          <w:p>
            <w:r>
              <w:rPr>
                <w:sz w:val="16"/>
              </w:rPr>
              <w:t>Wie funktioniert ein RWDR?</w:t>
            </w:r>
          </w:p>
        </w:tc>
        <w:tc>
          <w:tcPr>
            <w:tcW w:type="dxa" w:w="3685"/>
            <w:tcMar>
              <w:top w:w="90" w:type="dxa"/>
              <w:start w:w="90" w:type="dxa"/>
              <w:bottom w:w="90" w:type="dxa"/>
              <w:end w:w="90" w:type="dxa"/>
            </w:tcMar>
            <w:vAlign w:val="top"/>
          </w:tcPr>
          <w:p>
            <w:r>
              <w:rPr>
                <w:sz w:val="16"/>
              </w:rPr>
              <w:t>Direkte, tiefe Antwort; Quellen bei spezifischen Claims</w:t>
            </w:r>
          </w:p>
        </w:tc>
        <w:tc>
          <w:tcPr>
            <w:tcW w:type="dxa" w:w="2268"/>
            <w:tcMar>
              <w:top w:w="90" w:type="dxa"/>
              <w:start w:w="90" w:type="dxa"/>
              <w:bottom w:w="90" w:type="dxa"/>
              <w:end w:w="90" w:type="dxa"/>
            </w:tcMar>
            <w:vAlign w:val="top"/>
          </w:tcPr>
          <w:p>
            <w:r>
              <w:rPr>
                <w:sz w:val="16"/>
              </w:rPr>
              <w:t>Erklärung, Visualisierung, Verweise</w:t>
            </w:r>
          </w:p>
        </w:tc>
      </w:tr>
      <w:tr>
        <w:trPr>
          <w:trHeight w:hRule="atLeast"/>
        </w:trPr>
        <w:tc>
          <w:tcPr>
            <w:tcW w:type="dxa" w:w="1417"/>
            <w:tcMar>
              <w:top w:w="90" w:type="dxa"/>
              <w:start w:w="90" w:type="dxa"/>
              <w:bottom w:w="90" w:type="dxa"/>
              <w:end w:w="90" w:type="dxa"/>
            </w:tcMar>
            <w:vAlign w:val="top"/>
          </w:tcPr>
          <w:p>
            <w:r>
              <w:rPr>
                <w:sz w:val="16"/>
              </w:rPr>
              <w:t>Vergleich</w:t>
            </w:r>
          </w:p>
        </w:tc>
        <w:tc>
          <w:tcPr>
            <w:tcW w:type="dxa" w:w="2041"/>
            <w:tcMar>
              <w:top w:w="90" w:type="dxa"/>
              <w:start w:w="90" w:type="dxa"/>
              <w:bottom w:w="90" w:type="dxa"/>
              <w:end w:w="90" w:type="dxa"/>
            </w:tcMar>
            <w:vAlign w:val="top"/>
          </w:tcPr>
          <w:p>
            <w:r>
              <w:rPr>
                <w:sz w:val="16"/>
              </w:rPr>
              <w:t>FKM oder EPDM?</w:t>
            </w:r>
          </w:p>
        </w:tc>
        <w:tc>
          <w:tcPr>
            <w:tcW w:type="dxa" w:w="3685"/>
            <w:tcMar>
              <w:top w:w="90" w:type="dxa"/>
              <w:start w:w="90" w:type="dxa"/>
              <w:bottom w:w="90" w:type="dxa"/>
              <w:end w:w="90" w:type="dxa"/>
            </w:tcMar>
            <w:vAlign w:val="top"/>
          </w:tcPr>
          <w:p>
            <w:r>
              <w:rPr>
                <w:sz w:val="16"/>
              </w:rPr>
              <w:t>Kriterien und Geltungsbedingungen klären; Zielkonflikte zeigen</w:t>
            </w:r>
          </w:p>
        </w:tc>
        <w:tc>
          <w:tcPr>
            <w:tcW w:type="dxa" w:w="2268"/>
            <w:tcMar>
              <w:top w:w="90" w:type="dxa"/>
              <w:start w:w="90" w:type="dxa"/>
              <w:bottom w:w="90" w:type="dxa"/>
              <w:end w:w="90" w:type="dxa"/>
            </w:tcMar>
            <w:vAlign w:val="top"/>
          </w:tcPr>
          <w:p>
            <w:r>
              <w:rPr>
                <w:sz w:val="16"/>
              </w:rPr>
              <w:t>Vergleichsmatrix</w:t>
            </w:r>
          </w:p>
        </w:tc>
      </w:tr>
      <w:tr>
        <w:trPr>
          <w:trHeight w:hRule="atLeast"/>
        </w:trPr>
        <w:tc>
          <w:tcPr>
            <w:tcW w:type="dxa" w:w="1417"/>
            <w:tcMar>
              <w:top w:w="90" w:type="dxa"/>
              <w:start w:w="90" w:type="dxa"/>
              <w:bottom w:w="90" w:type="dxa"/>
              <w:end w:w="90" w:type="dxa"/>
            </w:tcMar>
            <w:vAlign w:val="top"/>
          </w:tcPr>
          <w:p>
            <w:r>
              <w:rPr>
                <w:sz w:val="16"/>
              </w:rPr>
              <w:t>Engineering</w:t>
            </w:r>
          </w:p>
        </w:tc>
        <w:tc>
          <w:tcPr>
            <w:tcW w:type="dxa" w:w="2041"/>
            <w:tcMar>
              <w:top w:w="90" w:type="dxa"/>
              <w:start w:w="90" w:type="dxa"/>
              <w:bottom w:w="90" w:type="dxa"/>
              <w:end w:w="90" w:type="dxa"/>
            </w:tcMar>
            <w:vAlign w:val="top"/>
          </w:tcPr>
          <w:p>
            <w:r>
              <w:rPr>
                <w:sz w:val="16"/>
              </w:rPr>
              <w:t>Welche Nut/Umfangsgeschwindigkeit?</w:t>
            </w:r>
          </w:p>
        </w:tc>
        <w:tc>
          <w:tcPr>
            <w:tcW w:type="dxa" w:w="3685"/>
            <w:tcMar>
              <w:top w:w="90" w:type="dxa"/>
              <w:start w:w="90" w:type="dxa"/>
              <w:bottom w:w="90" w:type="dxa"/>
              <w:end w:w="90" w:type="dxa"/>
            </w:tcMar>
            <w:vAlign w:val="top"/>
          </w:tcPr>
          <w:p>
            <w:r>
              <w:rPr>
                <w:sz w:val="16"/>
              </w:rPr>
              <w:t>Inputs validieren; deterministischen Kernel nutzen</w:t>
            </w:r>
          </w:p>
        </w:tc>
        <w:tc>
          <w:tcPr>
            <w:tcW w:type="dxa" w:w="2268"/>
            <w:tcMar>
              <w:top w:w="90" w:type="dxa"/>
              <w:start w:w="90" w:type="dxa"/>
              <w:bottom w:w="90" w:type="dxa"/>
              <w:end w:w="90" w:type="dxa"/>
            </w:tcMar>
            <w:vAlign w:val="top"/>
          </w:tcPr>
          <w:p>
            <w:r>
              <w:rPr>
                <w:sz w:val="16"/>
              </w:rPr>
              <w:t>Berechnung und Annahmen</w:t>
            </w:r>
          </w:p>
        </w:tc>
      </w:tr>
      <w:tr>
        <w:trPr>
          <w:trHeight w:hRule="atLeast"/>
        </w:trPr>
        <w:tc>
          <w:tcPr>
            <w:tcW w:type="dxa" w:w="1417"/>
            <w:tcMar>
              <w:top w:w="90" w:type="dxa"/>
              <w:start w:w="90" w:type="dxa"/>
              <w:bottom w:w="90" w:type="dxa"/>
              <w:end w:w="90" w:type="dxa"/>
            </w:tcMar>
            <w:vAlign w:val="top"/>
          </w:tcPr>
          <w:p>
            <w:r>
              <w:rPr>
                <w:sz w:val="16"/>
              </w:rPr>
              <w:t>Anwendungsfall</w:t>
            </w:r>
          </w:p>
        </w:tc>
        <w:tc>
          <w:tcPr>
            <w:tcW w:type="dxa" w:w="2041"/>
            <w:tcMar>
              <w:top w:w="90" w:type="dxa"/>
              <w:start w:w="90" w:type="dxa"/>
              <w:bottom w:w="90" w:type="dxa"/>
              <w:end w:w="90" w:type="dxa"/>
            </w:tcMar>
            <w:vAlign w:val="top"/>
          </w:tcPr>
          <w:p>
            <w:r>
              <w:rPr>
                <w:sz w:val="16"/>
              </w:rPr>
              <w:t>Welche Dichtung bei Medium X?</w:t>
            </w:r>
          </w:p>
        </w:tc>
        <w:tc>
          <w:tcPr>
            <w:tcW w:type="dxa" w:w="3685"/>
            <w:tcMar>
              <w:top w:w="90" w:type="dxa"/>
              <w:start w:w="90" w:type="dxa"/>
              <w:bottom w:w="90" w:type="dxa"/>
              <w:end w:w="90" w:type="dxa"/>
            </w:tcMar>
            <w:vAlign w:val="top"/>
          </w:tcPr>
          <w:p>
            <w:r>
              <w:rPr>
                <w:sz w:val="16"/>
              </w:rPr>
              <w:t>Adaptive Rückfragen, Coverage und Risikoklasse</w:t>
            </w:r>
          </w:p>
        </w:tc>
        <w:tc>
          <w:tcPr>
            <w:tcW w:type="dxa" w:w="2268"/>
            <w:tcMar>
              <w:top w:w="90" w:type="dxa"/>
              <w:start w:w="90" w:type="dxa"/>
              <w:bottom w:w="90" w:type="dxa"/>
              <w:end w:w="90" w:type="dxa"/>
            </w:tcMar>
            <w:vAlign w:val="top"/>
          </w:tcPr>
          <w:p>
            <w:r>
              <w:rPr>
                <w:sz w:val="16"/>
              </w:rPr>
              <w:t>Prüfbarer Fall</w:t>
            </w:r>
          </w:p>
        </w:tc>
      </w:tr>
      <w:tr>
        <w:trPr>
          <w:trHeight w:hRule="atLeast"/>
        </w:trPr>
        <w:tc>
          <w:tcPr>
            <w:tcW w:type="dxa" w:w="1417"/>
            <w:tcMar>
              <w:top w:w="90" w:type="dxa"/>
              <w:start w:w="90" w:type="dxa"/>
              <w:bottom w:w="90" w:type="dxa"/>
              <w:end w:w="90" w:type="dxa"/>
            </w:tcMar>
            <w:vAlign w:val="top"/>
          </w:tcPr>
          <w:p>
            <w:r>
              <w:rPr>
                <w:sz w:val="16"/>
              </w:rPr>
              <w:t>Schaden</w:t>
            </w:r>
          </w:p>
        </w:tc>
        <w:tc>
          <w:tcPr>
            <w:tcW w:type="dxa" w:w="2041"/>
            <w:tcMar>
              <w:top w:w="90" w:type="dxa"/>
              <w:start w:w="90" w:type="dxa"/>
              <w:bottom w:w="90" w:type="dxa"/>
              <w:end w:w="90" w:type="dxa"/>
            </w:tcMar>
            <w:vAlign w:val="top"/>
          </w:tcPr>
          <w:p>
            <w:r>
              <w:rPr>
                <w:sz w:val="16"/>
              </w:rPr>
              <w:t>Warum leckt der RWDR?</w:t>
            </w:r>
          </w:p>
        </w:tc>
        <w:tc>
          <w:tcPr>
            <w:tcW w:type="dxa" w:w="3685"/>
            <w:tcMar>
              <w:top w:w="90" w:type="dxa"/>
              <w:start w:w="90" w:type="dxa"/>
              <w:bottom w:w="90" w:type="dxa"/>
              <w:end w:w="90" w:type="dxa"/>
            </w:tcMar>
            <w:vAlign w:val="top"/>
          </w:tcPr>
          <w:p>
            <w:r>
              <w:rPr>
                <w:sz w:val="16"/>
              </w:rPr>
              <w:t>Systemische Ursachenhypothesen und Prüfplan</w:t>
            </w:r>
          </w:p>
        </w:tc>
        <w:tc>
          <w:tcPr>
            <w:tcW w:type="dxa" w:w="2268"/>
            <w:tcMar>
              <w:top w:w="90" w:type="dxa"/>
              <w:start w:w="90" w:type="dxa"/>
              <w:bottom w:w="90" w:type="dxa"/>
              <w:end w:w="90" w:type="dxa"/>
            </w:tcMar>
            <w:vAlign w:val="top"/>
          </w:tcPr>
          <w:p>
            <w:r>
              <w:rPr>
                <w:sz w:val="16"/>
              </w:rPr>
              <w:t>RCA-/Failure-Dossier</w:t>
            </w:r>
          </w:p>
        </w:tc>
      </w:tr>
      <w:tr>
        <w:trPr>
          <w:trHeight w:hRule="atLeast"/>
        </w:trPr>
        <w:tc>
          <w:tcPr>
            <w:tcW w:type="dxa" w:w="1417"/>
            <w:tcMar>
              <w:top w:w="90" w:type="dxa"/>
              <w:start w:w="90" w:type="dxa"/>
              <w:bottom w:w="90" w:type="dxa"/>
              <w:end w:w="90" w:type="dxa"/>
            </w:tcMar>
            <w:vAlign w:val="top"/>
          </w:tcPr>
          <w:p>
            <w:r>
              <w:rPr>
                <w:sz w:val="16"/>
              </w:rPr>
              <w:t>Substitution</w:t>
            </w:r>
          </w:p>
        </w:tc>
        <w:tc>
          <w:tcPr>
            <w:tcW w:type="dxa" w:w="2041"/>
            <w:tcMar>
              <w:top w:w="90" w:type="dxa"/>
              <w:start w:w="90" w:type="dxa"/>
              <w:bottom w:w="90" w:type="dxa"/>
              <w:end w:w="90" w:type="dxa"/>
            </w:tcMar>
            <w:vAlign w:val="top"/>
          </w:tcPr>
          <w:p>
            <w:r>
              <w:rPr>
                <w:sz w:val="16"/>
              </w:rPr>
              <w:t>Alternative für abgekündigten Compound</w:t>
            </w:r>
          </w:p>
        </w:tc>
        <w:tc>
          <w:tcPr>
            <w:tcW w:type="dxa" w:w="3685"/>
            <w:tcMar>
              <w:top w:w="90" w:type="dxa"/>
              <w:start w:w="90" w:type="dxa"/>
              <w:bottom w:w="90" w:type="dxa"/>
              <w:end w:w="90" w:type="dxa"/>
            </w:tcMar>
            <w:vAlign w:val="top"/>
          </w:tcPr>
          <w:p>
            <w:r>
              <w:rPr>
                <w:sz w:val="16"/>
              </w:rPr>
              <w:t>Leistung, Regulatorik und Requalifizierung abbilden</w:t>
            </w:r>
          </w:p>
        </w:tc>
        <w:tc>
          <w:tcPr>
            <w:tcW w:type="dxa" w:w="2268"/>
            <w:tcMar>
              <w:top w:w="90" w:type="dxa"/>
              <w:start w:w="90" w:type="dxa"/>
              <w:bottom w:w="90" w:type="dxa"/>
              <w:end w:w="90" w:type="dxa"/>
            </w:tcMar>
            <w:vAlign w:val="top"/>
          </w:tcPr>
          <w:p>
            <w:r>
              <w:rPr>
                <w:sz w:val="16"/>
              </w:rPr>
              <w:t>Substitutionsdossier</w:t>
            </w:r>
          </w:p>
        </w:tc>
      </w:tr>
      <w:tr>
        <w:trPr>
          <w:trHeight w:hRule="atLeast"/>
        </w:trPr>
        <w:tc>
          <w:tcPr>
            <w:tcW w:type="dxa" w:w="1417"/>
            <w:tcMar>
              <w:top w:w="90" w:type="dxa"/>
              <w:start w:w="90" w:type="dxa"/>
              <w:bottom w:w="90" w:type="dxa"/>
              <w:end w:w="90" w:type="dxa"/>
            </w:tcMar>
            <w:vAlign w:val="top"/>
          </w:tcPr>
          <w:p>
            <w:r>
              <w:rPr>
                <w:sz w:val="16"/>
              </w:rPr>
              <w:t>Hersteller-Fit</w:t>
            </w:r>
          </w:p>
        </w:tc>
        <w:tc>
          <w:tcPr>
            <w:tcW w:type="dxa" w:w="2041"/>
            <w:tcMar>
              <w:top w:w="90" w:type="dxa"/>
              <w:start w:w="90" w:type="dxa"/>
              <w:bottom w:w="90" w:type="dxa"/>
              <w:end w:w="90" w:type="dxa"/>
            </w:tcMar>
            <w:vAlign w:val="top"/>
          </w:tcPr>
          <w:p>
            <w:r>
              <w:rPr>
                <w:sz w:val="16"/>
              </w:rPr>
              <w:t>Wer kann den Fall prüfen?</w:t>
            </w:r>
          </w:p>
        </w:tc>
        <w:tc>
          <w:tcPr>
            <w:tcW w:type="dxa" w:w="3685"/>
            <w:tcMar>
              <w:top w:w="90" w:type="dxa"/>
              <w:start w:w="90" w:type="dxa"/>
              <w:bottom w:w="90" w:type="dxa"/>
              <w:end w:w="90" w:type="dxa"/>
            </w:tcMar>
            <w:vAlign w:val="top"/>
          </w:tcPr>
          <w:p>
            <w:r>
              <w:rPr>
                <w:sz w:val="16"/>
              </w:rPr>
              <w:t>Capability Match erst nach technischem Fall</w:t>
            </w:r>
          </w:p>
        </w:tc>
        <w:tc>
          <w:tcPr>
            <w:tcW w:type="dxa" w:w="2268"/>
            <w:tcMar>
              <w:top w:w="90" w:type="dxa"/>
              <w:start w:w="90" w:type="dxa"/>
              <w:bottom w:w="90" w:type="dxa"/>
              <w:end w:w="90" w:type="dxa"/>
            </w:tcMar>
            <w:vAlign w:val="top"/>
          </w:tcPr>
          <w:p>
            <w:r>
              <w:rPr>
                <w:sz w:val="16"/>
              </w:rPr>
              <w:t>Begründete Auswahl</w:t>
            </w:r>
          </w:p>
        </w:tc>
      </w:tr>
      <w:tr>
        <w:trPr>
          <w:trHeight w:hRule="atLeast"/>
        </w:trPr>
        <w:tc>
          <w:tcPr>
            <w:tcW w:type="dxa" w:w="1417"/>
            <w:tcMar>
              <w:top w:w="90" w:type="dxa"/>
              <w:start w:w="90" w:type="dxa"/>
              <w:bottom w:w="90" w:type="dxa"/>
              <w:end w:w="90" w:type="dxa"/>
            </w:tcMar>
            <w:vAlign w:val="top"/>
          </w:tcPr>
          <w:p>
            <w:r>
              <w:rPr>
                <w:sz w:val="16"/>
              </w:rPr>
              <w:t>Lifecycle</w:t>
            </w:r>
          </w:p>
        </w:tc>
        <w:tc>
          <w:tcPr>
            <w:tcW w:type="dxa" w:w="2041"/>
            <w:tcMar>
              <w:top w:w="90" w:type="dxa"/>
              <w:start w:w="90" w:type="dxa"/>
              <w:bottom w:w="90" w:type="dxa"/>
              <w:end w:w="90" w:type="dxa"/>
            </w:tcMar>
            <w:vAlign w:val="top"/>
          </w:tcPr>
          <w:p>
            <w:r>
              <w:rPr>
                <w:sz w:val="16"/>
              </w:rPr>
              <w:t>Was war eingebaut und wie lange lief es?</w:t>
            </w:r>
          </w:p>
        </w:tc>
        <w:tc>
          <w:tcPr>
            <w:tcW w:type="dxa" w:w="3685"/>
            <w:tcMar>
              <w:top w:w="90" w:type="dxa"/>
              <w:start w:w="90" w:type="dxa"/>
              <w:bottom w:w="90" w:type="dxa"/>
              <w:end w:w="90" w:type="dxa"/>
            </w:tcMar>
            <w:vAlign w:val="top"/>
          </w:tcPr>
          <w:p>
            <w:r>
              <w:rPr>
                <w:sz w:val="16"/>
              </w:rPr>
              <w:t>Asset-Historie und Outcomes zusammenführen</w:t>
            </w:r>
          </w:p>
        </w:tc>
        <w:tc>
          <w:tcPr>
            <w:tcW w:type="dxa" w:w="2268"/>
            <w:tcMar>
              <w:top w:w="90" w:type="dxa"/>
              <w:start w:w="90" w:type="dxa"/>
              <w:bottom w:w="90" w:type="dxa"/>
              <w:end w:w="90" w:type="dxa"/>
            </w:tcMar>
            <w:vAlign w:val="top"/>
          </w:tcPr>
          <w:p>
            <w:r>
              <w:rPr>
                <w:sz w:val="16"/>
              </w:rPr>
              <w:t>Dichtungslebenslauf</w:t>
            </w:r>
          </w:p>
        </w:tc>
      </w:tr>
    </w:tbl>
    <w:p/>
    <w:p>
      <w:pPr>
        <w:pStyle w:val="Heading2"/>
      </w:pPr>
      <w:r>
        <w:t>6.1 Risikoklassen</w:t>
      </w:r>
    </w:p>
    <w:tbl>
      <w:tblPr>
        <w:tblStyle w:val="TableGrid"/>
        <w:tblW w:type="auto" w:w="0"/>
        <w:jc w:val="center"/>
        <w:tblLook w:firstColumn="1" w:firstRow="1" w:lastColumn="0" w:lastRow="0" w:noHBand="0" w:noVBand="1" w:val="04A0"/>
      </w:tblPr>
      <w:tblGrid>
        <w:gridCol w:w="3286"/>
        <w:gridCol w:w="3286"/>
        <w:gridCol w:w="3286"/>
      </w:tblGrid>
      <w:tr>
        <w:tc>
          <w:tcPr>
            <w:tcW w:type="dxa" w:w="850"/>
            <w:shd w:fill="17324D"/>
            <w:tcMar>
              <w:top w:w="28" w:type="dxa"/>
              <w:start w:w="28" w:type="dxa"/>
              <w:bottom w:w="28" w:type="dxa"/>
              <w:end w:w="28" w:type="dxa"/>
            </w:tcMar>
            <w:vAlign w:val="center"/>
          </w:tcPr>
          <w:p>
            <w:pPr>
              <w:spacing w:after="0" w:before="0" w:line="228" w:lineRule="auto"/>
              <w:jc w:val="left"/>
            </w:pPr>
            <w:r>
              <w:rPr>
                <w:b/>
                <w:color w:val="FFFFFF"/>
                <w:sz w:val="14"/>
              </w:rPr>
              <w:t>Klasse</w:t>
            </w:r>
          </w:p>
        </w:tc>
        <w:tc>
          <w:tcPr>
            <w:tcW w:type="dxa" w:w="2835"/>
            <w:shd w:fill="17324D"/>
            <w:tcMar>
              <w:top w:w="28" w:type="dxa"/>
              <w:start w:w="28" w:type="dxa"/>
              <w:bottom w:w="28" w:type="dxa"/>
              <w:end w:w="28" w:type="dxa"/>
            </w:tcMar>
            <w:vAlign w:val="center"/>
          </w:tcPr>
          <w:p>
            <w:pPr>
              <w:spacing w:after="0" w:before="0" w:line="228" w:lineRule="auto"/>
              <w:jc w:val="left"/>
            </w:pPr>
            <w:r>
              <w:rPr>
                <w:b/>
                <w:color w:val="FFFFFF"/>
                <w:sz w:val="14"/>
              </w:rPr>
              <w:t>Typ</w:t>
            </w:r>
          </w:p>
        </w:tc>
        <w:tc>
          <w:tcPr>
            <w:tcW w:type="dxa" w:w="5726"/>
            <w:shd w:fill="17324D"/>
            <w:tcMar>
              <w:top w:w="28" w:type="dxa"/>
              <w:start w:w="28" w:type="dxa"/>
              <w:bottom w:w="28" w:type="dxa"/>
              <w:end w:w="28" w:type="dxa"/>
            </w:tcMar>
            <w:vAlign w:val="center"/>
          </w:tcPr>
          <w:p>
            <w:pPr>
              <w:spacing w:after="0" w:before="0" w:line="228" w:lineRule="auto"/>
              <w:jc w:val="left"/>
            </w:pPr>
            <w:r>
              <w:rPr>
                <w:b/>
                <w:color w:val="FFFFFF"/>
                <w:sz w:val="14"/>
              </w:rPr>
              <w:t>Pflichten</w:t>
            </w:r>
          </w:p>
        </w:tc>
      </w:tr>
      <w:tr>
        <w:trPr>
          <w:trHeight w:hRule="atLeast"/>
        </w:trPr>
        <w:tc>
          <w:tcPr>
            <w:tcW w:type="dxa" w:w="850"/>
            <w:tcMar>
              <w:top w:w="28" w:type="dxa"/>
              <w:start w:w="28" w:type="dxa"/>
              <w:bottom w:w="28" w:type="dxa"/>
              <w:end w:w="28" w:type="dxa"/>
            </w:tcMar>
            <w:vAlign w:val="top"/>
          </w:tcPr>
          <w:p>
            <w:pPr>
              <w:spacing w:after="0" w:before="0" w:line="228" w:lineRule="auto"/>
            </w:pPr>
            <w:r>
              <w:rPr>
                <w:b/>
                <w:color w:val="002A5B"/>
                <w:sz w:val="14"/>
              </w:rPr>
              <w:t>A</w:t>
            </w:r>
          </w:p>
        </w:tc>
        <w:tc>
          <w:tcPr>
            <w:tcW w:type="dxa" w:w="2835"/>
            <w:tcMar>
              <w:top w:w="28" w:type="dxa"/>
              <w:start w:w="28" w:type="dxa"/>
              <w:bottom w:w="28" w:type="dxa"/>
              <w:end w:w="28" w:type="dxa"/>
            </w:tcMar>
            <w:vAlign w:val="top"/>
          </w:tcPr>
          <w:p>
            <w:pPr>
              <w:spacing w:after="0" w:before="0" w:line="228" w:lineRule="auto"/>
            </w:pPr>
            <w:r>
              <w:rPr>
                <w:sz w:val="14"/>
              </w:rPr>
              <w:t>Allgemeines Wissen</w:t>
            </w:r>
          </w:p>
        </w:tc>
        <w:tc>
          <w:tcPr>
            <w:tcW w:type="dxa" w:w="5726"/>
            <w:tcMar>
              <w:top w:w="28" w:type="dxa"/>
              <w:start w:w="28" w:type="dxa"/>
              <w:bottom w:w="28" w:type="dxa"/>
              <w:end w:w="28" w:type="dxa"/>
            </w:tcMar>
            <w:vAlign w:val="top"/>
          </w:tcPr>
          <w:p>
            <w:pPr>
              <w:spacing w:after="0" w:before="0" w:line="228" w:lineRule="auto"/>
            </w:pPr>
            <w:r>
              <w:rPr>
                <w:sz w:val="14"/>
              </w:rPr>
              <w:t>Direkte Antwort; keine unnötige Fallaufnahme.</w:t>
            </w:r>
          </w:p>
        </w:tc>
      </w:tr>
      <w:tr>
        <w:trPr>
          <w:trHeight w:hRule="atLeast"/>
        </w:trPr>
        <w:tc>
          <w:tcPr>
            <w:tcW w:type="dxa" w:w="850"/>
            <w:tcMar>
              <w:top w:w="28" w:type="dxa"/>
              <w:start w:w="28" w:type="dxa"/>
              <w:bottom w:w="28" w:type="dxa"/>
              <w:end w:w="28" w:type="dxa"/>
            </w:tcMar>
            <w:vAlign w:val="top"/>
          </w:tcPr>
          <w:p>
            <w:pPr>
              <w:spacing w:after="0" w:before="0" w:line="228" w:lineRule="auto"/>
            </w:pPr>
            <w:r>
              <w:rPr>
                <w:b/>
                <w:color w:val="002A5B"/>
                <w:sz w:val="14"/>
              </w:rPr>
              <w:t>B</w:t>
            </w:r>
          </w:p>
        </w:tc>
        <w:tc>
          <w:tcPr>
            <w:tcW w:type="dxa" w:w="2835"/>
            <w:tcMar>
              <w:top w:w="28" w:type="dxa"/>
              <w:start w:w="28" w:type="dxa"/>
              <w:bottom w:w="28" w:type="dxa"/>
              <w:end w:w="28" w:type="dxa"/>
            </w:tcMar>
            <w:vAlign w:val="top"/>
          </w:tcPr>
          <w:p>
            <w:pPr>
              <w:spacing w:after="0" w:before="0" w:line="228" w:lineRule="auto"/>
            </w:pPr>
            <w:r>
              <w:rPr>
                <w:sz w:val="14"/>
              </w:rPr>
              <w:t>Technische Orientierung</w:t>
            </w:r>
          </w:p>
        </w:tc>
        <w:tc>
          <w:tcPr>
            <w:tcW w:type="dxa" w:w="5726"/>
            <w:tcMar>
              <w:top w:w="28" w:type="dxa"/>
              <w:start w:w="28" w:type="dxa"/>
              <w:bottom w:w="28" w:type="dxa"/>
              <w:end w:w="28" w:type="dxa"/>
            </w:tcMar>
            <w:vAlign w:val="top"/>
          </w:tcPr>
          <w:p>
            <w:pPr>
              <w:spacing w:after="0" w:before="0" w:line="228" w:lineRule="auto"/>
            </w:pPr>
            <w:r>
              <w:rPr>
                <w:sz w:val="14"/>
              </w:rPr>
              <w:t>Applicability und Grenzen sichtbar.</w:t>
            </w:r>
          </w:p>
        </w:tc>
      </w:tr>
      <w:tr>
        <w:trPr>
          <w:trHeight w:hRule="atLeast"/>
        </w:trPr>
        <w:tc>
          <w:tcPr>
            <w:tcW w:type="dxa" w:w="850"/>
            <w:tcMar>
              <w:top w:w="28" w:type="dxa"/>
              <w:start w:w="28" w:type="dxa"/>
              <w:bottom w:w="28" w:type="dxa"/>
              <w:end w:w="28" w:type="dxa"/>
            </w:tcMar>
            <w:vAlign w:val="top"/>
          </w:tcPr>
          <w:p>
            <w:pPr>
              <w:spacing w:after="0" w:before="0" w:line="228" w:lineRule="auto"/>
            </w:pPr>
            <w:r>
              <w:rPr>
                <w:b/>
                <w:color w:val="002A5B"/>
                <w:sz w:val="14"/>
              </w:rPr>
              <w:t>C</w:t>
            </w:r>
          </w:p>
        </w:tc>
        <w:tc>
          <w:tcPr>
            <w:tcW w:type="dxa" w:w="2835"/>
            <w:tcMar>
              <w:top w:w="28" w:type="dxa"/>
              <w:start w:w="28" w:type="dxa"/>
              <w:bottom w:w="28" w:type="dxa"/>
              <w:end w:w="28" w:type="dxa"/>
            </w:tcMar>
            <w:vAlign w:val="top"/>
          </w:tcPr>
          <w:p>
            <w:pPr>
              <w:spacing w:after="0" w:before="0" w:line="228" w:lineRule="auto"/>
            </w:pPr>
            <w:r>
              <w:rPr>
                <w:sz w:val="14"/>
              </w:rPr>
              <w:t>Anwendungsspezifische Aussage</w:t>
            </w:r>
          </w:p>
        </w:tc>
        <w:tc>
          <w:tcPr>
            <w:tcW w:type="dxa" w:w="5726"/>
            <w:tcMar>
              <w:top w:w="28" w:type="dxa"/>
              <w:start w:w="28" w:type="dxa"/>
              <w:bottom w:w="28" w:type="dxa"/>
              <w:end w:w="28" w:type="dxa"/>
            </w:tcMar>
            <w:vAlign w:val="top"/>
          </w:tcPr>
          <w:p>
            <w:pPr>
              <w:spacing w:after="0" w:before="0" w:line="228" w:lineRule="auto"/>
            </w:pPr>
            <w:r>
              <w:rPr>
                <w:sz w:val="14"/>
              </w:rPr>
              <w:t>Strukturierte Inputs, Coverage, Quellen und Unsicherheit.</w:t>
            </w:r>
          </w:p>
        </w:tc>
      </w:tr>
      <w:tr>
        <w:trPr>
          <w:trHeight w:hRule="atLeast"/>
        </w:trPr>
        <w:tc>
          <w:tcPr>
            <w:tcW w:type="dxa" w:w="850"/>
            <w:tcMar>
              <w:top w:w="28" w:type="dxa"/>
              <w:start w:w="28" w:type="dxa"/>
              <w:bottom w:w="28" w:type="dxa"/>
              <w:end w:w="28" w:type="dxa"/>
            </w:tcMar>
            <w:vAlign w:val="top"/>
          </w:tcPr>
          <w:p>
            <w:pPr>
              <w:spacing w:after="0" w:before="0" w:line="228" w:lineRule="auto"/>
            </w:pPr>
            <w:r>
              <w:rPr>
                <w:b/>
                <w:color w:val="002A5B"/>
                <w:sz w:val="14"/>
              </w:rPr>
              <w:t>D</w:t>
            </w:r>
          </w:p>
        </w:tc>
        <w:tc>
          <w:tcPr>
            <w:tcW w:type="dxa" w:w="2835"/>
            <w:tcMar>
              <w:top w:w="28" w:type="dxa"/>
              <w:start w:w="28" w:type="dxa"/>
              <w:bottom w:w="28" w:type="dxa"/>
              <w:end w:w="28" w:type="dxa"/>
            </w:tcMar>
            <w:vAlign w:val="top"/>
          </w:tcPr>
          <w:p>
            <w:pPr>
              <w:spacing w:after="0" w:before="0" w:line="228" w:lineRule="auto"/>
            </w:pPr>
            <w:r>
              <w:rPr>
                <w:sz w:val="14"/>
              </w:rPr>
              <w:t>Kritische Anwendung</w:t>
            </w:r>
          </w:p>
        </w:tc>
        <w:tc>
          <w:tcPr>
            <w:tcW w:type="dxa" w:w="5726"/>
            <w:tcMar>
              <w:top w:w="28" w:type="dxa"/>
              <w:start w:w="28" w:type="dxa"/>
              <w:bottom w:w="28" w:type="dxa"/>
              <w:end w:w="28" w:type="dxa"/>
            </w:tcMar>
            <w:vAlign w:val="top"/>
          </w:tcPr>
          <w:p>
            <w:pPr>
              <w:spacing w:after="0" w:before="0" w:line="228" w:lineRule="auto"/>
            </w:pPr>
            <w:r>
              <w:rPr>
                <w:sz w:val="14"/>
              </w:rPr>
              <w:t>Erhöhte Evidenz, Pflichtfragen, explizite Eskalation und Freigabegate.</w:t>
            </w:r>
          </w:p>
        </w:tc>
      </w:tr>
      <w:tr>
        <w:trPr>
          <w:trHeight w:hRule="atLeast"/>
        </w:trPr>
        <w:tc>
          <w:tcPr>
            <w:tcW w:type="dxa" w:w="850"/>
            <w:tcMar>
              <w:top w:w="28" w:type="dxa"/>
              <w:start w:w="28" w:type="dxa"/>
              <w:bottom w:w="28" w:type="dxa"/>
              <w:end w:w="28" w:type="dxa"/>
            </w:tcMar>
            <w:vAlign w:val="top"/>
          </w:tcPr>
          <w:p>
            <w:pPr>
              <w:spacing w:after="0" w:before="0" w:line="228" w:lineRule="auto"/>
            </w:pPr>
            <w:r>
              <w:rPr>
                <w:b/>
                <w:color w:val="002A5B"/>
                <w:sz w:val="14"/>
              </w:rPr>
              <w:t>E</w:t>
            </w:r>
          </w:p>
        </w:tc>
        <w:tc>
          <w:tcPr>
            <w:tcW w:type="dxa" w:w="2835"/>
            <w:tcMar>
              <w:top w:w="28" w:type="dxa"/>
              <w:start w:w="28" w:type="dxa"/>
              <w:bottom w:w="28" w:type="dxa"/>
              <w:end w:w="28" w:type="dxa"/>
            </w:tcMar>
            <w:vAlign w:val="top"/>
          </w:tcPr>
          <w:p>
            <w:pPr>
              <w:spacing w:after="0" w:before="0" w:line="228" w:lineRule="auto"/>
            </w:pPr>
            <w:r>
              <w:rPr>
                <w:sz w:val="14"/>
              </w:rPr>
              <w:t>Formale Konformität/Zertifizierung</w:t>
            </w:r>
          </w:p>
        </w:tc>
        <w:tc>
          <w:tcPr>
            <w:tcW w:type="dxa" w:w="5726"/>
            <w:tcMar>
              <w:top w:w="28" w:type="dxa"/>
              <w:start w:w="28" w:type="dxa"/>
              <w:bottom w:w="28" w:type="dxa"/>
              <w:end w:w="28" w:type="dxa"/>
            </w:tcMar>
            <w:vAlign w:val="top"/>
          </w:tcPr>
          <w:p>
            <w:pPr>
              <w:spacing w:after="0" w:before="0" w:line="228" w:lineRule="auto"/>
            </w:pPr>
            <w:r>
              <w:rPr>
                <w:sz w:val="14"/>
              </w:rPr>
              <w:t>Keine Bestätigung durch sealingAI; Übergabe an autorisierte Stelle.</w:t>
            </w:r>
          </w:p>
        </w:tc>
      </w:tr>
    </w:tbl>
    <w:p/>
    <w:p>
      <w:r>
        <w:br w:type="page"/>
      </w:r>
    </w:p>
    <w:p>
      <w:pPr>
        <w:pStyle w:val="Heading1"/>
      </w:pPr>
      <w:r>
        <w:t>7. Verbindliche Produkt- und Vertrauensprinzipien</w:t>
      </w:r>
    </w:p>
    <w:tbl>
      <w:tblPr>
        <w:tblStyle w:val="TableGrid"/>
        <w:tblW w:type="auto" w:w="0"/>
        <w:jc w:val="center"/>
        <w:tblLook w:firstColumn="1" w:firstRow="1" w:lastColumn="0" w:lastRow="0" w:noHBand="0" w:noVBand="1" w:val="04A0"/>
      </w:tblPr>
      <w:tblGrid>
        <w:gridCol w:w="3286"/>
        <w:gridCol w:w="3286"/>
        <w:gridCol w:w="3286"/>
      </w:tblGrid>
      <w:tr>
        <w:tc>
          <w:tcPr>
            <w:tcW w:type="dxa" w:w="680"/>
            <w:shd w:fill="17324D"/>
            <w:tcMar>
              <w:top w:w="40" w:type="dxa"/>
              <w:start w:w="40" w:type="dxa"/>
              <w:bottom w:w="40" w:type="dxa"/>
              <w:end w:w="40" w:type="dxa"/>
            </w:tcMar>
            <w:vAlign w:val="center"/>
          </w:tcPr>
          <w:p>
            <w:pPr>
              <w:spacing w:after="0" w:before="0" w:line="240" w:lineRule="auto"/>
              <w:jc w:val="left"/>
            </w:pPr>
            <w:r>
              <w:rPr>
                <w:b/>
                <w:color w:val="FFFFFF"/>
                <w:sz w:val="14"/>
              </w:rPr>
              <w:t>ID</w:t>
            </w:r>
          </w:p>
        </w:tc>
        <w:tc>
          <w:tcPr>
            <w:tcW w:type="dxa" w:w="3288"/>
            <w:shd w:fill="17324D"/>
            <w:tcMar>
              <w:top w:w="40" w:type="dxa"/>
              <w:start w:w="40" w:type="dxa"/>
              <w:bottom w:w="40" w:type="dxa"/>
              <w:end w:w="40" w:type="dxa"/>
            </w:tcMar>
            <w:vAlign w:val="center"/>
          </w:tcPr>
          <w:p>
            <w:pPr>
              <w:spacing w:after="0" w:before="0" w:line="240" w:lineRule="auto"/>
              <w:jc w:val="left"/>
            </w:pPr>
            <w:r>
              <w:rPr>
                <w:b/>
                <w:color w:val="FFFFFF"/>
                <w:sz w:val="14"/>
              </w:rPr>
              <w:t>Prinzip</w:t>
            </w:r>
          </w:p>
        </w:tc>
        <w:tc>
          <w:tcPr>
            <w:tcW w:type="dxa" w:w="5443"/>
            <w:shd w:fill="17324D"/>
            <w:tcMar>
              <w:top w:w="40" w:type="dxa"/>
              <w:start w:w="40" w:type="dxa"/>
              <w:bottom w:w="40" w:type="dxa"/>
              <w:end w:w="40" w:type="dxa"/>
            </w:tcMar>
            <w:vAlign w:val="center"/>
          </w:tcPr>
          <w:p>
            <w:pPr>
              <w:spacing w:after="0" w:before="0" w:line="240" w:lineRule="auto"/>
              <w:jc w:val="left"/>
            </w:pPr>
            <w:r>
              <w:rPr>
                <w:b/>
                <w:color w:val="FFFFFF"/>
                <w:sz w:val="14"/>
              </w:rPr>
              <w:t>Verbindliche Auslegung</w:t>
            </w:r>
          </w:p>
        </w:tc>
      </w:tr>
      <w:tr>
        <w:trPr>
          <w:trHeight w:hRule="atLeast"/>
        </w:trPr>
        <w:tc>
          <w:tcPr>
            <w:tcW w:type="dxa" w:w="680"/>
            <w:tcMar>
              <w:top w:w="40" w:type="dxa"/>
              <w:start w:w="40" w:type="dxa"/>
              <w:bottom w:w="40" w:type="dxa"/>
              <w:end w:w="40" w:type="dxa"/>
            </w:tcMar>
            <w:vAlign w:val="top"/>
          </w:tcPr>
          <w:p>
            <w:pPr>
              <w:spacing w:after="0" w:before="0" w:line="240" w:lineRule="auto"/>
            </w:pPr>
            <w:r>
              <w:rPr>
                <w:b/>
                <w:color w:val="002A5B"/>
                <w:sz w:val="14"/>
              </w:rPr>
              <w:t>P1</w:t>
            </w:r>
          </w:p>
        </w:tc>
        <w:tc>
          <w:tcPr>
            <w:tcW w:type="dxa" w:w="3288"/>
            <w:tcMar>
              <w:top w:w="40" w:type="dxa"/>
              <w:start w:w="40" w:type="dxa"/>
              <w:bottom w:w="40" w:type="dxa"/>
              <w:end w:w="40" w:type="dxa"/>
            </w:tcMar>
            <w:vAlign w:val="top"/>
          </w:tcPr>
          <w:p>
            <w:pPr>
              <w:spacing w:after="0" w:before="0" w:line="240" w:lineRule="auto"/>
            </w:pPr>
            <w:r>
              <w:rPr>
                <w:sz w:val="14"/>
              </w:rPr>
              <w:t>Der Kernel entscheidet, das LLM formuliert.</w:t>
            </w:r>
          </w:p>
        </w:tc>
        <w:tc>
          <w:tcPr>
            <w:tcW w:type="dxa" w:w="5443"/>
            <w:tcMar>
              <w:top w:w="40" w:type="dxa"/>
              <w:start w:w="40" w:type="dxa"/>
              <w:bottom w:w="40" w:type="dxa"/>
              <w:end w:w="40" w:type="dxa"/>
            </w:tcMar>
            <w:vAlign w:val="top"/>
          </w:tcPr>
          <w:p>
            <w:pPr>
              <w:spacing w:after="0" w:before="0" w:line="240" w:lineRule="auto"/>
            </w:pPr>
            <w:r>
              <w:rPr>
                <w:sz w:val="14"/>
              </w:rPr>
              <w:t>Berechnungen, Formeln und numerische Ergebnisse stammen aus deterministischem Code.</w:t>
            </w:r>
          </w:p>
        </w:tc>
      </w:tr>
      <w:tr>
        <w:trPr>
          <w:trHeight w:hRule="atLeast"/>
        </w:trPr>
        <w:tc>
          <w:tcPr>
            <w:tcW w:type="dxa" w:w="680"/>
            <w:tcMar>
              <w:top w:w="40" w:type="dxa"/>
              <w:start w:w="40" w:type="dxa"/>
              <w:bottom w:w="40" w:type="dxa"/>
              <w:end w:w="40" w:type="dxa"/>
            </w:tcMar>
            <w:vAlign w:val="top"/>
          </w:tcPr>
          <w:p>
            <w:pPr>
              <w:spacing w:after="0" w:before="0" w:line="240" w:lineRule="auto"/>
            </w:pPr>
            <w:r>
              <w:rPr>
                <w:b/>
                <w:color w:val="002A5B"/>
                <w:sz w:val="14"/>
              </w:rPr>
              <w:t>P2</w:t>
            </w:r>
          </w:p>
        </w:tc>
        <w:tc>
          <w:tcPr>
            <w:tcW w:type="dxa" w:w="3288"/>
            <w:tcMar>
              <w:top w:w="40" w:type="dxa"/>
              <w:start w:w="40" w:type="dxa"/>
              <w:bottom w:w="40" w:type="dxa"/>
              <w:end w:w="40" w:type="dxa"/>
            </w:tcMar>
            <w:vAlign w:val="top"/>
          </w:tcPr>
          <w:p>
            <w:pPr>
              <w:spacing w:after="0" w:before="0" w:line="240" w:lineRule="auto"/>
            </w:pPr>
            <w:r>
              <w:rPr>
                <w:sz w:val="14"/>
              </w:rPr>
              <w:t>Kein technischer Claim ohne Status.</w:t>
            </w:r>
          </w:p>
        </w:tc>
        <w:tc>
          <w:tcPr>
            <w:tcW w:type="dxa" w:w="5443"/>
            <w:tcMar>
              <w:top w:w="40" w:type="dxa"/>
              <w:start w:w="40" w:type="dxa"/>
              <w:bottom w:w="40" w:type="dxa"/>
              <w:end w:w="40" w:type="dxa"/>
            </w:tcMar>
            <w:vAlign w:val="top"/>
          </w:tcPr>
          <w:p>
            <w:pPr>
              <w:spacing w:after="0" w:before="0" w:line="240" w:lineRule="auto"/>
            </w:pPr>
            <w:r>
              <w:rPr>
                <w:sz w:val="14"/>
              </w:rPr>
              <w:t>Quelle, Reviewstatus, Version, Geltungsbereich und Unsicherheit sind Teil des Claims.</w:t>
            </w:r>
          </w:p>
        </w:tc>
      </w:tr>
      <w:tr>
        <w:trPr>
          <w:trHeight w:hRule="atLeast"/>
        </w:trPr>
        <w:tc>
          <w:tcPr>
            <w:tcW w:type="dxa" w:w="680"/>
            <w:tcMar>
              <w:top w:w="40" w:type="dxa"/>
              <w:start w:w="40" w:type="dxa"/>
              <w:bottom w:w="40" w:type="dxa"/>
              <w:end w:w="40" w:type="dxa"/>
            </w:tcMar>
            <w:vAlign w:val="top"/>
          </w:tcPr>
          <w:p>
            <w:pPr>
              <w:spacing w:after="0" w:before="0" w:line="240" w:lineRule="auto"/>
            </w:pPr>
            <w:r>
              <w:rPr>
                <w:b/>
                <w:color w:val="002A5B"/>
                <w:sz w:val="14"/>
              </w:rPr>
              <w:t>P3</w:t>
            </w:r>
          </w:p>
        </w:tc>
        <w:tc>
          <w:tcPr>
            <w:tcW w:type="dxa" w:w="3288"/>
            <w:tcMar>
              <w:top w:w="40" w:type="dxa"/>
              <w:start w:w="40" w:type="dxa"/>
              <w:bottom w:w="40" w:type="dxa"/>
              <w:end w:w="40" w:type="dxa"/>
            </w:tcMar>
            <w:vAlign w:val="top"/>
          </w:tcPr>
          <w:p>
            <w:pPr>
              <w:spacing w:after="0" w:before="0" w:line="240" w:lineRule="auto"/>
            </w:pPr>
            <w:r>
              <w:rPr>
                <w:sz w:val="14"/>
              </w:rPr>
              <w:t>Unknown ist ein Fachzustand.</w:t>
            </w:r>
          </w:p>
        </w:tc>
        <w:tc>
          <w:tcPr>
            <w:tcW w:type="dxa" w:w="5443"/>
            <w:tcMar>
              <w:top w:w="40" w:type="dxa"/>
              <w:start w:w="40" w:type="dxa"/>
              <w:bottom w:w="40" w:type="dxa"/>
              <w:end w:w="40" w:type="dxa"/>
            </w:tcMar>
            <w:vAlign w:val="top"/>
          </w:tcPr>
          <w:p>
            <w:pPr>
              <w:spacing w:after="0" w:before="0" w:line="240" w:lineRule="auto"/>
            </w:pPr>
            <w:r>
              <w:rPr>
                <w:sz w:val="14"/>
              </w:rPr>
              <w:t>Fehlende Daten werden weder geschätzt noch sprachlich versteckt.</w:t>
            </w:r>
          </w:p>
        </w:tc>
      </w:tr>
      <w:tr>
        <w:trPr>
          <w:trHeight w:hRule="atLeast"/>
        </w:trPr>
        <w:tc>
          <w:tcPr>
            <w:tcW w:type="dxa" w:w="680"/>
            <w:tcMar>
              <w:top w:w="40" w:type="dxa"/>
              <w:start w:w="40" w:type="dxa"/>
              <w:bottom w:w="40" w:type="dxa"/>
              <w:end w:w="40" w:type="dxa"/>
            </w:tcMar>
            <w:vAlign w:val="top"/>
          </w:tcPr>
          <w:p>
            <w:pPr>
              <w:spacing w:after="0" w:before="0" w:line="240" w:lineRule="auto"/>
            </w:pPr>
            <w:r>
              <w:rPr>
                <w:b/>
                <w:color w:val="002A5B"/>
                <w:sz w:val="14"/>
              </w:rPr>
              <w:t>P4</w:t>
            </w:r>
          </w:p>
        </w:tc>
        <w:tc>
          <w:tcPr>
            <w:tcW w:type="dxa" w:w="3288"/>
            <w:tcMar>
              <w:top w:w="40" w:type="dxa"/>
              <w:start w:w="40" w:type="dxa"/>
              <w:bottom w:w="40" w:type="dxa"/>
              <w:end w:w="40" w:type="dxa"/>
            </w:tcMar>
            <w:vAlign w:val="top"/>
          </w:tcPr>
          <w:p>
            <w:pPr>
              <w:spacing w:after="0" w:before="0" w:line="240" w:lineRule="auto"/>
            </w:pPr>
            <w:r>
              <w:rPr>
                <w:sz w:val="14"/>
              </w:rPr>
              <w:t>Familie orientiert, Compound bewertet, Bauteil wird extern freigegeben.</w:t>
            </w:r>
          </w:p>
        </w:tc>
        <w:tc>
          <w:tcPr>
            <w:tcW w:type="dxa" w:w="5443"/>
            <w:tcMar>
              <w:top w:w="40" w:type="dxa"/>
              <w:start w:w="40" w:type="dxa"/>
              <w:bottom w:w="40" w:type="dxa"/>
              <w:end w:w="40" w:type="dxa"/>
            </w:tcMar>
            <w:vAlign w:val="top"/>
          </w:tcPr>
          <w:p>
            <w:pPr>
              <w:spacing w:after="0" w:before="0" w:line="240" w:lineRule="auto"/>
            </w:pPr>
            <w:r>
              <w:rPr>
                <w:sz w:val="14"/>
              </w:rPr>
              <w:t>Werkstofffamilien dürfen nicht wie konkrete Produkte behandelt werden.</w:t>
            </w:r>
          </w:p>
        </w:tc>
      </w:tr>
      <w:tr>
        <w:trPr>
          <w:trHeight w:hRule="atLeast"/>
        </w:trPr>
        <w:tc>
          <w:tcPr>
            <w:tcW w:type="dxa" w:w="680"/>
            <w:tcMar>
              <w:top w:w="40" w:type="dxa"/>
              <w:start w:w="40" w:type="dxa"/>
              <w:bottom w:w="40" w:type="dxa"/>
              <w:end w:w="40" w:type="dxa"/>
            </w:tcMar>
            <w:vAlign w:val="top"/>
          </w:tcPr>
          <w:p>
            <w:pPr>
              <w:spacing w:after="0" w:before="0" w:line="240" w:lineRule="auto"/>
            </w:pPr>
            <w:r>
              <w:rPr>
                <w:b/>
                <w:color w:val="002A5B"/>
                <w:sz w:val="14"/>
              </w:rPr>
              <w:t>P5</w:t>
            </w:r>
          </w:p>
        </w:tc>
        <w:tc>
          <w:tcPr>
            <w:tcW w:type="dxa" w:w="3288"/>
            <w:tcMar>
              <w:top w:w="40" w:type="dxa"/>
              <w:start w:w="40" w:type="dxa"/>
              <w:bottom w:w="40" w:type="dxa"/>
              <w:end w:w="40" w:type="dxa"/>
            </w:tcMar>
            <w:vAlign w:val="top"/>
          </w:tcPr>
          <w:p>
            <w:pPr>
              <w:spacing w:after="0" w:before="0" w:line="240" w:lineRule="auto"/>
            </w:pPr>
            <w:r>
              <w:rPr>
                <w:sz w:val="14"/>
              </w:rPr>
              <w:t>Was das System nicht weiß, sagt es zuerst.</w:t>
            </w:r>
          </w:p>
        </w:tc>
        <w:tc>
          <w:tcPr>
            <w:tcW w:type="dxa" w:w="5443"/>
            <w:tcMar>
              <w:top w:w="40" w:type="dxa"/>
              <w:start w:w="40" w:type="dxa"/>
              <w:bottom w:w="40" w:type="dxa"/>
              <w:end w:w="40" w:type="dxa"/>
            </w:tcMar>
            <w:vAlign w:val="top"/>
          </w:tcPr>
          <w:p>
            <w:pPr>
              <w:spacing w:after="0" w:before="0" w:line="240" w:lineRule="auto"/>
            </w:pPr>
            <w:r>
              <w:rPr>
                <w:sz w:val="14"/>
              </w:rPr>
              <w:t>Keine Scheingenauigkeit und kein rhetorisches Verbergen.</w:t>
            </w:r>
          </w:p>
        </w:tc>
      </w:tr>
      <w:tr>
        <w:trPr>
          <w:trHeight w:hRule="atLeast"/>
        </w:trPr>
        <w:tc>
          <w:tcPr>
            <w:tcW w:type="dxa" w:w="680"/>
            <w:tcMar>
              <w:top w:w="40" w:type="dxa"/>
              <w:start w:w="40" w:type="dxa"/>
              <w:bottom w:w="40" w:type="dxa"/>
              <w:end w:w="40" w:type="dxa"/>
            </w:tcMar>
            <w:vAlign w:val="top"/>
          </w:tcPr>
          <w:p>
            <w:pPr>
              <w:spacing w:after="0" w:before="0" w:line="240" w:lineRule="auto"/>
            </w:pPr>
            <w:r>
              <w:rPr>
                <w:b/>
                <w:color w:val="002A5B"/>
                <w:sz w:val="14"/>
              </w:rPr>
              <w:t>P6</w:t>
            </w:r>
          </w:p>
        </w:tc>
        <w:tc>
          <w:tcPr>
            <w:tcW w:type="dxa" w:w="3288"/>
            <w:tcMar>
              <w:top w:w="40" w:type="dxa"/>
              <w:start w:w="40" w:type="dxa"/>
              <w:bottom w:w="40" w:type="dxa"/>
              <w:end w:w="40" w:type="dxa"/>
            </w:tcMar>
            <w:vAlign w:val="top"/>
          </w:tcPr>
          <w:p>
            <w:pPr>
              <w:spacing w:after="0" w:before="0" w:line="240" w:lineRule="auto"/>
            </w:pPr>
            <w:r>
              <w:rPr>
                <w:sz w:val="14"/>
              </w:rPr>
              <w:t>Matching folgt dem technischen Fall.</w:t>
            </w:r>
          </w:p>
        </w:tc>
        <w:tc>
          <w:tcPr>
            <w:tcW w:type="dxa" w:w="5443"/>
            <w:tcMar>
              <w:top w:w="40" w:type="dxa"/>
              <w:start w:w="40" w:type="dxa"/>
              <w:bottom w:w="40" w:type="dxa"/>
              <w:end w:w="40" w:type="dxa"/>
            </w:tcMar>
            <w:vAlign w:val="top"/>
          </w:tcPr>
          <w:p>
            <w:pPr>
              <w:spacing w:after="0" w:before="0" w:line="240" w:lineRule="auto"/>
            </w:pPr>
            <w:r>
              <w:rPr>
                <w:sz w:val="14"/>
              </w:rPr>
              <w:t>Kommerzielle Partnerdaten dürfen keine technische Bewertung erzeugen.</w:t>
            </w:r>
          </w:p>
        </w:tc>
      </w:tr>
      <w:tr>
        <w:trPr>
          <w:trHeight w:hRule="atLeast"/>
        </w:trPr>
        <w:tc>
          <w:tcPr>
            <w:tcW w:type="dxa" w:w="680"/>
            <w:tcMar>
              <w:top w:w="40" w:type="dxa"/>
              <w:start w:w="40" w:type="dxa"/>
              <w:bottom w:w="40" w:type="dxa"/>
              <w:end w:w="40" w:type="dxa"/>
            </w:tcMar>
            <w:vAlign w:val="top"/>
          </w:tcPr>
          <w:p>
            <w:pPr>
              <w:spacing w:after="0" w:before="0" w:line="240" w:lineRule="auto"/>
            </w:pPr>
            <w:r>
              <w:rPr>
                <w:b/>
                <w:color w:val="002A5B"/>
                <w:sz w:val="14"/>
              </w:rPr>
              <w:t>P7</w:t>
            </w:r>
          </w:p>
        </w:tc>
        <w:tc>
          <w:tcPr>
            <w:tcW w:type="dxa" w:w="3288"/>
            <w:tcMar>
              <w:top w:w="40" w:type="dxa"/>
              <w:start w:w="40" w:type="dxa"/>
              <w:bottom w:w="40" w:type="dxa"/>
              <w:end w:w="40" w:type="dxa"/>
            </w:tcMar>
            <w:vAlign w:val="top"/>
          </w:tcPr>
          <w:p>
            <w:pPr>
              <w:spacing w:after="0" w:before="0" w:line="240" w:lineRule="auto"/>
            </w:pPr>
            <w:r>
              <w:rPr>
                <w:sz w:val="14"/>
              </w:rPr>
              <w:t>Felderfahrung ist Evidenz, kein Autopilot.</w:t>
            </w:r>
          </w:p>
        </w:tc>
        <w:tc>
          <w:tcPr>
            <w:tcW w:type="dxa" w:w="5443"/>
            <w:tcMar>
              <w:top w:w="40" w:type="dxa"/>
              <w:start w:w="40" w:type="dxa"/>
              <w:bottom w:w="40" w:type="dxa"/>
              <w:end w:w="40" w:type="dxa"/>
            </w:tcMar>
            <w:vAlign w:val="top"/>
          </w:tcPr>
          <w:p>
            <w:pPr>
              <w:spacing w:after="0" w:before="0" w:line="240" w:lineRule="auto"/>
            </w:pPr>
            <w:r>
              <w:rPr>
                <w:sz w:val="14"/>
              </w:rPr>
              <w:t>Outcomes werden kontextbezogen und mit Übertragbarkeitsgrenzen genutzt.</w:t>
            </w:r>
          </w:p>
        </w:tc>
      </w:tr>
      <w:tr>
        <w:trPr>
          <w:trHeight w:hRule="atLeast"/>
        </w:trPr>
        <w:tc>
          <w:tcPr>
            <w:tcW w:type="dxa" w:w="680"/>
            <w:tcMar>
              <w:top w:w="40" w:type="dxa"/>
              <w:start w:w="40" w:type="dxa"/>
              <w:bottom w:w="40" w:type="dxa"/>
              <w:end w:w="40" w:type="dxa"/>
            </w:tcMar>
            <w:vAlign w:val="top"/>
          </w:tcPr>
          <w:p>
            <w:pPr>
              <w:spacing w:after="0" w:before="0" w:line="240" w:lineRule="auto"/>
            </w:pPr>
            <w:r>
              <w:rPr>
                <w:b/>
                <w:color w:val="002A5B"/>
                <w:sz w:val="14"/>
              </w:rPr>
              <w:t>P8</w:t>
            </w:r>
          </w:p>
        </w:tc>
        <w:tc>
          <w:tcPr>
            <w:tcW w:type="dxa" w:w="3288"/>
            <w:tcMar>
              <w:top w:w="40" w:type="dxa"/>
              <w:start w:w="40" w:type="dxa"/>
              <w:bottom w:w="40" w:type="dxa"/>
              <w:end w:w="40" w:type="dxa"/>
            </w:tcMar>
            <w:vAlign w:val="top"/>
          </w:tcPr>
          <w:p>
            <w:pPr>
              <w:spacing w:after="0" w:before="0" w:line="240" w:lineRule="auto"/>
            </w:pPr>
            <w:r>
              <w:rPr>
                <w:sz w:val="14"/>
              </w:rPr>
              <w:t>Das Produkt ist das Entscheidungsdokument.</w:t>
            </w:r>
          </w:p>
        </w:tc>
        <w:tc>
          <w:tcPr>
            <w:tcW w:type="dxa" w:w="5443"/>
            <w:tcMar>
              <w:top w:w="40" w:type="dxa"/>
              <w:start w:w="40" w:type="dxa"/>
              <w:bottom w:w="40" w:type="dxa"/>
              <w:end w:w="40" w:type="dxa"/>
            </w:tcMar>
            <w:vAlign w:val="top"/>
          </w:tcPr>
          <w:p>
            <w:pPr>
              <w:spacing w:after="0" w:before="0" w:line="240" w:lineRule="auto"/>
            </w:pPr>
            <w:r>
              <w:rPr>
                <w:sz w:val="14"/>
              </w:rPr>
              <w:t>Chat ist die Bedienoberfläche, nicht das Endergebnis.</w:t>
            </w:r>
          </w:p>
        </w:tc>
      </w:tr>
      <w:tr>
        <w:trPr>
          <w:trHeight w:hRule="atLeast"/>
        </w:trPr>
        <w:tc>
          <w:tcPr>
            <w:tcW w:type="dxa" w:w="680"/>
            <w:tcMar>
              <w:top w:w="40" w:type="dxa"/>
              <w:start w:w="40" w:type="dxa"/>
              <w:bottom w:w="40" w:type="dxa"/>
              <w:end w:w="40" w:type="dxa"/>
            </w:tcMar>
            <w:vAlign w:val="top"/>
          </w:tcPr>
          <w:p>
            <w:pPr>
              <w:spacing w:after="0" w:before="0" w:line="240" w:lineRule="auto"/>
            </w:pPr>
            <w:r>
              <w:rPr>
                <w:b/>
                <w:color w:val="002A5B"/>
                <w:sz w:val="14"/>
              </w:rPr>
              <w:t>P9</w:t>
            </w:r>
          </w:p>
        </w:tc>
        <w:tc>
          <w:tcPr>
            <w:tcW w:type="dxa" w:w="3288"/>
            <w:tcMar>
              <w:top w:w="40" w:type="dxa"/>
              <w:start w:w="40" w:type="dxa"/>
              <w:bottom w:w="40" w:type="dxa"/>
              <w:end w:w="40" w:type="dxa"/>
            </w:tcMar>
            <w:vAlign w:val="top"/>
          </w:tcPr>
          <w:p>
            <w:pPr>
              <w:spacing w:after="0" w:before="0" w:line="240" w:lineRule="auto"/>
            </w:pPr>
            <w:r>
              <w:rPr>
                <w:sz w:val="14"/>
              </w:rPr>
              <w:t>Tiefe vor Breite.</w:t>
            </w:r>
          </w:p>
        </w:tc>
        <w:tc>
          <w:tcPr>
            <w:tcW w:type="dxa" w:w="5443"/>
            <w:tcMar>
              <w:top w:w="40" w:type="dxa"/>
              <w:start w:w="40" w:type="dxa"/>
              <w:bottom w:w="40" w:type="dxa"/>
              <w:end w:w="40" w:type="dxa"/>
            </w:tcMar>
            <w:vAlign w:val="top"/>
          </w:tcPr>
          <w:p>
            <w:pPr>
              <w:spacing w:after="0" w:before="0" w:line="240" w:lineRule="auto"/>
            </w:pPr>
            <w:r>
              <w:rPr>
                <w:sz w:val="14"/>
              </w:rPr>
              <w:t>Neue Domänen werden vollständig genug gebaut, bevor weitere angekündigt werden.</w:t>
            </w:r>
          </w:p>
        </w:tc>
      </w:tr>
      <w:tr>
        <w:trPr>
          <w:trHeight w:hRule="atLeast"/>
        </w:trPr>
        <w:tc>
          <w:tcPr>
            <w:tcW w:type="dxa" w:w="680"/>
            <w:tcMar>
              <w:top w:w="40" w:type="dxa"/>
              <w:start w:w="40" w:type="dxa"/>
              <w:bottom w:w="40" w:type="dxa"/>
              <w:end w:w="40" w:type="dxa"/>
            </w:tcMar>
            <w:vAlign w:val="top"/>
          </w:tcPr>
          <w:p>
            <w:pPr>
              <w:spacing w:after="0" w:before="0" w:line="240" w:lineRule="auto"/>
            </w:pPr>
            <w:r>
              <w:rPr>
                <w:b/>
                <w:color w:val="002A5B"/>
                <w:sz w:val="14"/>
              </w:rPr>
              <w:t>P10</w:t>
            </w:r>
          </w:p>
        </w:tc>
        <w:tc>
          <w:tcPr>
            <w:tcW w:type="dxa" w:w="3288"/>
            <w:tcMar>
              <w:top w:w="40" w:type="dxa"/>
              <w:start w:w="40" w:type="dxa"/>
              <w:bottom w:w="40" w:type="dxa"/>
              <w:end w:w="40" w:type="dxa"/>
            </w:tcMar>
            <w:vAlign w:val="top"/>
          </w:tcPr>
          <w:p>
            <w:pPr>
              <w:spacing w:after="0" w:before="0" w:line="240" w:lineRule="auto"/>
            </w:pPr>
            <w:r>
              <w:rPr>
                <w:sz w:val="14"/>
              </w:rPr>
              <w:t>Grenzen stehen im Produkt.</w:t>
            </w:r>
          </w:p>
        </w:tc>
        <w:tc>
          <w:tcPr>
            <w:tcW w:type="dxa" w:w="5443"/>
            <w:tcMar>
              <w:top w:w="40" w:type="dxa"/>
              <w:start w:w="40" w:type="dxa"/>
              <w:bottom w:w="40" w:type="dxa"/>
              <w:end w:w="40" w:type="dxa"/>
            </w:tcMar>
            <w:vAlign w:val="top"/>
          </w:tcPr>
          <w:p>
            <w:pPr>
              <w:spacing w:after="0" w:before="0" w:line="240" w:lineRule="auto"/>
            </w:pPr>
            <w:r>
              <w:rPr>
                <w:sz w:val="14"/>
              </w:rPr>
              <w:t>Disclaimers ersetzen keine sichere Produktlogik.</w:t>
            </w:r>
          </w:p>
        </w:tc>
      </w:tr>
      <w:tr>
        <w:trPr>
          <w:trHeight w:hRule="atLeast"/>
        </w:trPr>
        <w:tc>
          <w:tcPr>
            <w:tcW w:type="dxa" w:w="680"/>
            <w:tcMar>
              <w:top w:w="40" w:type="dxa"/>
              <w:start w:w="40" w:type="dxa"/>
              <w:bottom w:w="40" w:type="dxa"/>
              <w:end w:w="40" w:type="dxa"/>
            </w:tcMar>
            <w:vAlign w:val="top"/>
          </w:tcPr>
          <w:p>
            <w:pPr>
              <w:spacing w:after="0" w:before="0" w:line="240" w:lineRule="auto"/>
            </w:pPr>
            <w:r>
              <w:rPr>
                <w:b/>
                <w:color w:val="002A5B"/>
                <w:sz w:val="14"/>
              </w:rPr>
              <w:t>P11</w:t>
            </w:r>
          </w:p>
        </w:tc>
        <w:tc>
          <w:tcPr>
            <w:tcW w:type="dxa" w:w="3288"/>
            <w:tcMar>
              <w:top w:w="40" w:type="dxa"/>
              <w:start w:w="40" w:type="dxa"/>
              <w:bottom w:w="40" w:type="dxa"/>
              <w:end w:w="40" w:type="dxa"/>
            </w:tcMar>
            <w:vAlign w:val="top"/>
          </w:tcPr>
          <w:p>
            <w:pPr>
              <w:spacing w:after="0" w:before="0" w:line="240" w:lineRule="auto"/>
            </w:pPr>
            <w:r>
              <w:rPr>
                <w:sz w:val="14"/>
              </w:rPr>
              <w:t>Technischer Fit ist nicht käuflich.</w:t>
            </w:r>
          </w:p>
        </w:tc>
        <w:tc>
          <w:tcPr>
            <w:tcW w:type="dxa" w:w="5443"/>
            <w:tcMar>
              <w:top w:w="40" w:type="dxa"/>
              <w:start w:w="40" w:type="dxa"/>
              <w:bottom w:w="40" w:type="dxa"/>
              <w:end w:w="40" w:type="dxa"/>
            </w:tcMar>
            <w:vAlign w:val="top"/>
          </w:tcPr>
          <w:p>
            <w:pPr>
              <w:spacing w:after="0" w:before="0" w:line="240" w:lineRule="auto"/>
            </w:pPr>
            <w:r>
              <w:rPr>
                <w:sz w:val="14"/>
              </w:rPr>
              <w:t>Sponsoring und Abonnement verändern keine Eignungsbewertung.</w:t>
            </w:r>
          </w:p>
        </w:tc>
      </w:tr>
      <w:tr>
        <w:trPr>
          <w:trHeight w:hRule="atLeast"/>
        </w:trPr>
        <w:tc>
          <w:tcPr>
            <w:tcW w:type="dxa" w:w="680"/>
            <w:tcMar>
              <w:top w:w="40" w:type="dxa"/>
              <w:start w:w="40" w:type="dxa"/>
              <w:bottom w:w="40" w:type="dxa"/>
              <w:end w:w="40" w:type="dxa"/>
            </w:tcMar>
            <w:vAlign w:val="top"/>
          </w:tcPr>
          <w:p>
            <w:pPr>
              <w:spacing w:after="0" w:before="0" w:line="240" w:lineRule="auto"/>
            </w:pPr>
            <w:r>
              <w:rPr>
                <w:b/>
                <w:color w:val="002A5B"/>
                <w:sz w:val="14"/>
              </w:rPr>
              <w:t>P12</w:t>
            </w:r>
          </w:p>
        </w:tc>
        <w:tc>
          <w:tcPr>
            <w:tcW w:type="dxa" w:w="3288"/>
            <w:tcMar>
              <w:top w:w="40" w:type="dxa"/>
              <w:start w:w="40" w:type="dxa"/>
              <w:bottom w:w="40" w:type="dxa"/>
              <w:end w:w="40" w:type="dxa"/>
            </w:tcMar>
            <w:vAlign w:val="top"/>
          </w:tcPr>
          <w:p>
            <w:pPr>
              <w:spacing w:after="0" w:before="0" w:line="240" w:lineRule="auto"/>
            </w:pPr>
            <w:r>
              <w:rPr>
                <w:sz w:val="14"/>
              </w:rPr>
              <w:t>Jede Scope-Erweiterung braucht ein Eval-Gate.</w:t>
            </w:r>
          </w:p>
        </w:tc>
        <w:tc>
          <w:tcPr>
            <w:tcW w:type="dxa" w:w="5443"/>
            <w:tcMar>
              <w:top w:w="40" w:type="dxa"/>
              <w:start w:w="40" w:type="dxa"/>
              <w:bottom w:w="40" w:type="dxa"/>
              <w:end w:w="40" w:type="dxa"/>
            </w:tcMar>
            <w:vAlign w:val="top"/>
          </w:tcPr>
          <w:p>
            <w:pPr>
              <w:spacing w:after="0" w:before="0" w:line="240" w:lineRule="auto"/>
            </w:pPr>
            <w:r>
              <w:rPr>
                <w:sz w:val="14"/>
              </w:rPr>
              <w:t>Feature Flag, Referenzset, Hard Gates und Owner-Aktivierung.</w:t>
            </w:r>
          </w:p>
        </w:tc>
      </w:tr>
    </w:tbl>
    <w:p/>
    <w:p>
      <w:r>
        <w:br w:type="page"/>
      </w:r>
    </w:p>
    <w:p>
      <w:pPr>
        <w:pStyle w:val="Heading1"/>
      </w:pPr>
      <w:r>
        <w:t>8. Vollständige 360°-Themenarchitektur</w:t>
      </w:r>
    </w:p>
    <w:p>
      <w:pPr>
        <w:pStyle w:val="Heading2"/>
      </w:pPr>
      <w:r>
        <w:t>8.1 Grundlagen und Physik</w:t>
      </w:r>
    </w:p>
    <w:p>
      <w:pPr>
        <w:pStyle w:val="ListBullet"/>
        <w:spacing w:after="40"/>
      </w:pPr>
      <w:r>
        <w:t>statisch/dynamisch, berührend/berührungslos, radial/axial</w:t>
      </w:r>
    </w:p>
    <w:p>
      <w:pPr>
        <w:pStyle w:val="ListBullet"/>
        <w:spacing w:after="40"/>
      </w:pPr>
      <w:r>
        <w:t>Leckage, Dichtspalt, Kontaktzone, Schmierfilm und Tribologie</w:t>
      </w:r>
    </w:p>
    <w:p>
      <w:pPr>
        <w:pStyle w:val="ListBullet"/>
        <w:spacing w:after="40"/>
      </w:pPr>
      <w:r>
        <w:t>Reibung, Verschleiß, Wärme, Alterung, Relaxation, Kriechen</w:t>
      </w:r>
    </w:p>
    <w:p>
      <w:pPr>
        <w:pStyle w:val="ListBullet"/>
        <w:spacing w:after="40"/>
      </w:pPr>
      <w:r>
        <w:t>Diffusion, Permeation, Quellung, Extraktion und explosive Dekompression</w:t>
      </w:r>
    </w:p>
    <w:p>
      <w:pPr>
        <w:pStyle w:val="ListBullet"/>
        <w:spacing w:after="40"/>
      </w:pPr>
      <w:r>
        <w:t>Toleranzen, Oberflächen, Härte, Rundlauf, Exzentrizität und Drall</w:t>
      </w:r>
    </w:p>
    <w:p>
      <w:pPr>
        <w:pStyle w:val="Heading2"/>
      </w:pPr>
      <w:r>
        <w:t>8.2 Dichtungsarten</w:t>
      </w:r>
    </w:p>
    <w:p>
      <w:pPr>
        <w:pStyle w:val="ListBullet"/>
        <w:spacing w:after="40"/>
      </w:pPr>
      <w:r>
        <w:t>O-Ringe, X-Ringe, Form- und Profildichtungen</w:t>
      </w:r>
    </w:p>
    <w:p>
      <w:pPr>
        <w:pStyle w:val="ListBullet"/>
        <w:spacing w:after="40"/>
      </w:pPr>
      <w:r>
        <w:t>RWDR, PTFE-Lippendichtungen, V-Ringe, Kassettendichtungen, Labyrinthe</w:t>
      </w:r>
    </w:p>
    <w:p>
      <w:pPr>
        <w:pStyle w:val="ListBullet"/>
        <w:spacing w:after="40"/>
      </w:pPr>
      <w:r>
        <w:t>Stangen-, Kolben-, Puffer-, Abstreif- und Führungselemente</w:t>
      </w:r>
    </w:p>
    <w:p>
      <w:pPr>
        <w:pStyle w:val="ListBullet"/>
        <w:spacing w:after="40"/>
      </w:pPr>
      <w:r>
        <w:t>Flachdichtungen, Graphit, PTFE, Spiral-, Kammprofil- und Metalldichtungen</w:t>
      </w:r>
    </w:p>
    <w:p>
      <w:pPr>
        <w:pStyle w:val="ListBullet"/>
        <w:spacing w:after="40"/>
      </w:pPr>
      <w:r>
        <w:t>Gleitringdichtungen, Cartridge-Systeme, Dry-Gas-Seals und Versorgungssysteme</w:t>
      </w:r>
    </w:p>
    <w:p>
      <w:pPr>
        <w:pStyle w:val="ListBullet"/>
        <w:spacing w:after="40"/>
      </w:pPr>
      <w:r>
        <w:t>Packungen, Kompensatoren, Membranen und Spezialdichtungen</w:t>
      </w:r>
    </w:p>
    <w:p>
      <w:pPr>
        <w:pStyle w:val="Heading2"/>
      </w:pPr>
      <w:r>
        <w:t>8.3 Werkstoffe und Compounds</w:t>
      </w:r>
    </w:p>
    <w:p>
      <w:pPr>
        <w:pStyle w:val="ListBullet"/>
        <w:spacing w:after="40"/>
      </w:pPr>
      <w:r>
        <w:t>NBR, HNBR, FKM, FFKM, EPDM, VMQ, FVMQ, ACM, AEM, CR, IIR, ECO, PU</w:t>
      </w:r>
    </w:p>
    <w:p>
      <w:pPr>
        <w:pStyle w:val="ListBullet"/>
        <w:spacing w:after="40"/>
      </w:pPr>
      <w:r>
        <w:t>PTFE, modifiziertes und gefülltes PTFE, PEEK, PAI, PI, PPS, UHMWPE, POM, PA</w:t>
      </w:r>
    </w:p>
    <w:p>
      <w:pPr>
        <w:pStyle w:val="ListBullet"/>
        <w:spacing w:after="40"/>
      </w:pPr>
      <w:r>
        <w:t>Graphit, Faserstoffe, Metalle, Keramiken, Kohlegraphit, SiC und WC</w:t>
      </w:r>
    </w:p>
    <w:p>
      <w:pPr>
        <w:pStyle w:val="ListBullet"/>
        <w:spacing w:after="40"/>
      </w:pPr>
      <w:r>
        <w:t>Eigenschaften, Härten, Alterung, Zulassungen, Verarbeitung, Lieferzustand und Charge</w:t>
      </w:r>
    </w:p>
    <w:p>
      <w:pPr>
        <w:pStyle w:val="Heading2"/>
      </w:pPr>
      <w:r>
        <w:t>8.4 Medien und Beständigkeit</w:t>
      </w:r>
    </w:p>
    <w:p>
      <w:pPr>
        <w:pStyle w:val="ListBullet"/>
        <w:spacing w:after="40"/>
      </w:pPr>
      <w:r>
        <w:t>Wasser, Dampf, Öle, Fette, Hydraulikflüssigkeiten, Kraftstoffe und Kältemittel</w:t>
      </w:r>
    </w:p>
    <w:p>
      <w:pPr>
        <w:pStyle w:val="ListBullet"/>
        <w:spacing w:after="40"/>
      </w:pPr>
      <w:r>
        <w:t>Säuren, Laugen, Lösemittel, Reinigungsmedien, Gase, Wasserstoff und CO₂</w:t>
      </w:r>
    </w:p>
    <w:p>
      <w:pPr>
        <w:pStyle w:val="ListBullet"/>
        <w:spacing w:after="40"/>
      </w:pPr>
      <w:r>
        <w:t>Lebensmittel-, Pharma-, High-Purity- und Halbleitermedien</w:t>
      </w:r>
    </w:p>
    <w:p>
      <w:pPr>
        <w:pStyle w:val="ListBullet"/>
        <w:spacing w:after="40"/>
      </w:pPr>
      <w:r>
        <w:t>Konzentration, Additive, Verunreinigung, Kontaktzeit, Wechselmedien und Reinigungszyklen</w:t>
      </w:r>
    </w:p>
    <w:p>
      <w:pPr>
        <w:pStyle w:val="Heading2"/>
      </w:pPr>
      <w:r>
        <w:t>8.5 Engineering</w:t>
      </w:r>
    </w:p>
    <w:p>
      <w:pPr>
        <w:pStyle w:val="ListBullet"/>
        <w:spacing w:after="40"/>
      </w:pPr>
      <w:r>
        <w:t>O-Ring-Nut, Verpressung, Dehnung, Nutfüllung und Extrusion</w:t>
      </w:r>
    </w:p>
    <w:p>
      <w:pPr>
        <w:pStyle w:val="ListBullet"/>
        <w:spacing w:after="40"/>
      </w:pPr>
      <w:r>
        <w:t>RWDR-Umfangsgeschwindigkeit, Gegenlauffläche, Druck, Schmierung und Wärme</w:t>
      </w:r>
    </w:p>
    <w:p>
      <w:pPr>
        <w:pStyle w:val="ListBullet"/>
        <w:spacing w:after="40"/>
      </w:pPr>
      <w:r>
        <w:t>Hydraulikspalt, Führung, Reibung, PV, Stick-Slip und Druckaufbau</w:t>
      </w:r>
    </w:p>
    <w:p>
      <w:pPr>
        <w:pStyle w:val="ListBullet"/>
        <w:spacing w:after="40"/>
      </w:pPr>
      <w:r>
        <w:t>Flanschsystem, Schraubenkraft, Flächenpressung, Setzen und Emission</w:t>
      </w:r>
    </w:p>
    <w:p>
      <w:pPr>
        <w:pStyle w:val="ListBullet"/>
        <w:spacing w:after="40"/>
      </w:pPr>
      <w:r>
        <w:t>Gleitringdichtflächen, Wärmehaushalt, Druckverhältnisse und Piping Plans</w:t>
      </w:r>
    </w:p>
    <w:p>
      <w:pPr>
        <w:pStyle w:val="Heading2"/>
      </w:pPr>
      <w:r>
        <w:t>8.6 Montage, Betrieb und Zuverlässigkeit</w:t>
      </w:r>
    </w:p>
    <w:p>
      <w:pPr>
        <w:pStyle w:val="ListBullet"/>
        <w:spacing w:after="40"/>
      </w:pPr>
      <w:r>
        <w:t>Lagerung, Haltbarkeit, Wareneingang, Reinigung und Montagehilfen</w:t>
      </w:r>
    </w:p>
    <w:p>
      <w:pPr>
        <w:pStyle w:val="ListBullet"/>
        <w:spacing w:after="40"/>
      </w:pPr>
      <w:r>
        <w:t>Einbaukontrolle, Inbetriebnahme, Inspektion und Zustandsüberwachung</w:t>
      </w:r>
    </w:p>
    <w:p>
      <w:pPr>
        <w:pStyle w:val="ListBullet"/>
        <w:spacing w:after="40"/>
      </w:pPr>
      <w:r>
        <w:t>Ersatzteilstrategie, Wartungsintervalle, MTBF, TCO und kritische Assets</w:t>
      </w:r>
    </w:p>
    <w:p>
      <w:pPr>
        <w:pStyle w:val="Heading2"/>
      </w:pPr>
      <w:r>
        <w:t>8.7 Failure Intelligence</w:t>
      </w:r>
    </w:p>
    <w:p>
      <w:pPr>
        <w:pStyle w:val="ListBullet"/>
        <w:spacing w:after="40"/>
      </w:pPr>
      <w:r>
        <w:t>chemischer, thermischer und mechanischer Angriff</w:t>
      </w:r>
    </w:p>
    <w:p>
      <w:pPr>
        <w:pStyle w:val="ListBullet"/>
        <w:spacing w:after="40"/>
      </w:pPr>
      <w:r>
        <w:t>Extrusion, Abrasion, Spiralversagen, Trockenlauf und Montagefehler</w:t>
      </w:r>
    </w:p>
    <w:p>
      <w:pPr>
        <w:pStyle w:val="ListBullet"/>
        <w:spacing w:after="40"/>
      </w:pPr>
      <w:r>
        <w:t>Wellen-, Lager-, Flansch-, Schrauben-, Versorgungs- und Systemursachen</w:t>
      </w:r>
    </w:p>
    <w:p>
      <w:pPr>
        <w:pStyle w:val="ListBullet"/>
        <w:spacing w:after="40"/>
      </w:pPr>
      <w:r>
        <w:t>Hypothesen, Evidenz dafür/dagegen, Prüfplan und Root Cause</w:t>
      </w:r>
    </w:p>
    <w:p>
      <w:pPr>
        <w:pStyle w:val="Heading2"/>
      </w:pPr>
      <w:r>
        <w:t>8.8 Normen, Regulierung und Nachweise</w:t>
      </w:r>
    </w:p>
    <w:p>
      <w:pPr>
        <w:pStyle w:val="ListBullet"/>
        <w:spacing w:after="40"/>
      </w:pPr>
      <w:r>
        <w:t>ISO, DIN, EN, ASME, API, ASTM, SAE, VDI und Werksnormen</w:t>
      </w:r>
    </w:p>
    <w:p>
      <w:pPr>
        <w:pStyle w:val="ListBullet"/>
        <w:spacing w:after="40"/>
      </w:pPr>
      <w:r>
        <w:t>REACH, PFAS, Lebensmittel, Trinkwasser, Pharma, Sauerstoff, ATEX und Druckgeräte</w:t>
      </w:r>
    </w:p>
    <w:p>
      <w:pPr>
        <w:pStyle w:val="ListBullet"/>
        <w:spacing w:after="40"/>
      </w:pPr>
      <w:r>
        <w:t>Prüfberichte, Zertifikate, Herstellererklärungen, CoC/CoA, FMEA, PPAP und 8D</w:t>
      </w:r>
    </w:p>
    <w:p>
      <w:pPr>
        <w:pStyle w:val="Heading2"/>
      </w:pPr>
      <w:r>
        <w:t>8.9 Hersteller, Produkte und Beschaffung</w:t>
      </w:r>
    </w:p>
    <w:p>
      <w:pPr>
        <w:pStyle w:val="ListBullet"/>
        <w:spacing w:after="40"/>
      </w:pPr>
      <w:r>
        <w:t>Capability Profiles, Produkte, Compounds, Zertifikate und Fertigungsverfahren</w:t>
      </w:r>
    </w:p>
    <w:p>
      <w:pPr>
        <w:pStyle w:val="ListBullet"/>
        <w:spacing w:after="40"/>
      </w:pPr>
      <w:r>
        <w:t>Cross-Reference, Substitution, Muster, RFQ, Antwortformate und Freigabestatus</w:t>
      </w:r>
    </w:p>
    <w:p>
      <w:pPr>
        <w:pStyle w:val="ListBullet"/>
        <w:spacing w:after="40"/>
      </w:pPr>
      <w:r>
        <w:t>technischer Fit, Verfügbarkeit, Lieferzeit und wirtschaftliche Zielkonflikte</w:t>
      </w:r>
    </w:p>
    <w:p>
      <w:pPr>
        <w:pStyle w:val="Heading2"/>
      </w:pPr>
      <w:r>
        <w:t>8.10 Academy und Lernen</w:t>
      </w:r>
    </w:p>
    <w:p>
      <w:pPr>
        <w:pStyle w:val="ListBullet"/>
        <w:spacing w:after="40"/>
      </w:pPr>
      <w:r>
        <w:t>rollenbasierte Lernpfade, Grundlagen, Vertiefung und Fallbeispiele</w:t>
      </w:r>
    </w:p>
    <w:p>
      <w:pPr>
        <w:pStyle w:val="ListBullet"/>
        <w:spacing w:after="40"/>
      </w:pPr>
      <w:r>
        <w:t>Animationen, Visualisierungen, Übungen, Prüfungen und Kompetenznachweise</w:t>
      </w:r>
    </w:p>
    <w:p>
      <w:pPr>
        <w:pStyle w:val="ListBullet"/>
        <w:spacing w:after="40"/>
      </w:pPr>
      <w:r>
        <w:t>Unternehmenswissen, Expert Review und Lessons Learned</w:t>
      </w:r>
    </w:p>
    <w:p>
      <w:r>
        <w:br w:type="page"/>
      </w:r>
    </w:p>
    <w:p>
      <w:pPr>
        <w:pStyle w:val="Heading1"/>
      </w:pPr>
      <w:r>
        <w:t>9. Zielprodukt und Modulverantwortung</w:t>
      </w:r>
    </w:p>
    <w:tbl>
      <w:tblPr>
        <w:tblStyle w:val="TableGrid"/>
        <w:tblW w:type="auto" w:w="0"/>
        <w:jc w:val="center"/>
        <w:tblLook w:firstColumn="1" w:firstRow="1" w:lastColumn="0" w:lastRow="0" w:noHBand="0" w:noVBand="1" w:val="04A0"/>
      </w:tblPr>
      <w:tblGrid>
        <w:gridCol w:w="3286"/>
        <w:gridCol w:w="3286"/>
        <w:gridCol w:w="3286"/>
      </w:tblGrid>
      <w:tr>
        <w:tc>
          <w:tcPr>
            <w:tcW w:type="dxa" w:w="1984"/>
            <w:shd w:fill="17324D"/>
            <w:tcMar>
              <w:top w:w="90" w:type="dxa"/>
              <w:start w:w="90" w:type="dxa"/>
              <w:bottom w:w="90" w:type="dxa"/>
              <w:end w:w="90" w:type="dxa"/>
            </w:tcMar>
            <w:vAlign w:val="center"/>
          </w:tcPr>
          <w:p>
            <w:pPr>
              <w:jc w:val="left"/>
            </w:pPr>
            <w:r>
              <w:rPr>
                <w:b/>
                <w:color w:val="FFFFFF"/>
                <w:sz w:val="15"/>
              </w:rPr>
              <w:t>Modul</w:t>
            </w:r>
          </w:p>
        </w:tc>
        <w:tc>
          <w:tcPr>
            <w:tcW w:type="dxa" w:w="4535"/>
            <w:shd w:fill="17324D"/>
            <w:tcMar>
              <w:top w:w="90" w:type="dxa"/>
              <w:start w:w="90" w:type="dxa"/>
              <w:bottom w:w="90" w:type="dxa"/>
              <w:end w:w="90" w:type="dxa"/>
            </w:tcMar>
            <w:vAlign w:val="center"/>
          </w:tcPr>
          <w:p>
            <w:pPr>
              <w:jc w:val="left"/>
            </w:pPr>
            <w:r>
              <w:rPr>
                <w:b/>
                <w:color w:val="FFFFFF"/>
                <w:sz w:val="15"/>
              </w:rPr>
              <w:t>Verantwortung</w:t>
            </w:r>
          </w:p>
        </w:tc>
        <w:tc>
          <w:tcPr>
            <w:tcW w:type="dxa" w:w="2891"/>
            <w:shd w:fill="17324D"/>
            <w:tcMar>
              <w:top w:w="90" w:type="dxa"/>
              <w:start w:w="90" w:type="dxa"/>
              <w:bottom w:w="90" w:type="dxa"/>
              <w:end w:w="90" w:type="dxa"/>
            </w:tcMar>
            <w:vAlign w:val="center"/>
          </w:tcPr>
          <w:p>
            <w:pPr>
              <w:jc w:val="left"/>
            </w:pPr>
            <w:r>
              <w:rPr>
                <w:b/>
                <w:color w:val="FFFFFF"/>
                <w:sz w:val="15"/>
              </w:rPr>
              <w:t>Darf nicht</w:t>
            </w:r>
          </w:p>
        </w:tc>
      </w:tr>
      <w:tr>
        <w:trPr>
          <w:trHeight w:hRule="atLeast"/>
        </w:trPr>
        <w:tc>
          <w:tcPr>
            <w:tcW w:type="dxa" w:w="1984"/>
            <w:tcMar>
              <w:top w:w="90" w:type="dxa"/>
              <w:start w:w="90" w:type="dxa"/>
              <w:bottom w:w="90" w:type="dxa"/>
              <w:end w:w="90" w:type="dxa"/>
            </w:tcMar>
            <w:vAlign w:val="top"/>
          </w:tcPr>
          <w:p>
            <w:r>
              <w:rPr>
                <w:sz w:val="15"/>
              </w:rPr>
              <w:t>Universal Sealing Assistant</w:t>
            </w:r>
          </w:p>
        </w:tc>
        <w:tc>
          <w:tcPr>
            <w:tcW w:type="dxa" w:w="4535"/>
            <w:tcMar>
              <w:top w:w="90" w:type="dxa"/>
              <w:start w:w="90" w:type="dxa"/>
              <w:bottom w:w="90" w:type="dxa"/>
              <w:end w:w="90" w:type="dxa"/>
            </w:tcMar>
            <w:vAlign w:val="top"/>
          </w:tcPr>
          <w:p>
            <w:r>
              <w:rPr>
                <w:sz w:val="15"/>
              </w:rPr>
              <w:t>Intent, Risikoklasse, Antworttiefe und Übergang in Workflows</w:t>
            </w:r>
          </w:p>
        </w:tc>
        <w:tc>
          <w:tcPr>
            <w:tcW w:type="dxa" w:w="2891"/>
            <w:tcMar>
              <w:top w:w="90" w:type="dxa"/>
              <w:start w:w="90" w:type="dxa"/>
              <w:bottom w:w="90" w:type="dxa"/>
              <w:end w:w="90" w:type="dxa"/>
            </w:tcMar>
            <w:vAlign w:val="top"/>
          </w:tcPr>
          <w:p>
            <w:r>
              <w:rPr>
                <w:sz w:val="15"/>
              </w:rPr>
              <w:t>Fachliche Wahrheit selbst erzeugen</w:t>
            </w:r>
          </w:p>
        </w:tc>
      </w:tr>
      <w:tr>
        <w:trPr>
          <w:trHeight w:hRule="atLeast"/>
        </w:trPr>
        <w:tc>
          <w:tcPr>
            <w:tcW w:type="dxa" w:w="1984"/>
            <w:tcMar>
              <w:top w:w="90" w:type="dxa"/>
              <w:start w:w="90" w:type="dxa"/>
              <w:bottom w:w="90" w:type="dxa"/>
              <w:end w:w="90" w:type="dxa"/>
            </w:tcMar>
            <w:vAlign w:val="top"/>
          </w:tcPr>
          <w:p>
            <w:r>
              <w:rPr>
                <w:sz w:val="15"/>
              </w:rPr>
              <w:t>SealingPedia</w:t>
            </w:r>
          </w:p>
        </w:tc>
        <w:tc>
          <w:tcPr>
            <w:tcW w:type="dxa" w:w="4535"/>
            <w:tcMar>
              <w:top w:w="90" w:type="dxa"/>
              <w:start w:w="90" w:type="dxa"/>
              <w:bottom w:w="90" w:type="dxa"/>
              <w:end w:w="90" w:type="dxa"/>
            </w:tcMar>
            <w:vAlign w:val="top"/>
          </w:tcPr>
          <w:p>
            <w:r>
              <w:rPr>
                <w:sz w:val="15"/>
              </w:rPr>
              <w:t>Grundlagen, Dichtungsarten, Mechanismen und Glossar</w:t>
            </w:r>
          </w:p>
        </w:tc>
        <w:tc>
          <w:tcPr>
            <w:tcW w:type="dxa" w:w="2891"/>
            <w:tcMar>
              <w:top w:w="90" w:type="dxa"/>
              <w:start w:w="90" w:type="dxa"/>
              <w:bottom w:w="90" w:type="dxa"/>
              <w:end w:w="90" w:type="dxa"/>
            </w:tcMar>
            <w:vAlign w:val="top"/>
          </w:tcPr>
          <w:p>
            <w:r>
              <w:rPr>
                <w:sz w:val="15"/>
              </w:rPr>
              <w:t>Anwendungsfreigaben suggerieren</w:t>
            </w:r>
          </w:p>
        </w:tc>
      </w:tr>
      <w:tr>
        <w:trPr>
          <w:trHeight w:hRule="atLeast"/>
        </w:trPr>
        <w:tc>
          <w:tcPr>
            <w:tcW w:type="dxa" w:w="1984"/>
            <w:tcMar>
              <w:top w:w="90" w:type="dxa"/>
              <w:start w:w="90" w:type="dxa"/>
              <w:bottom w:w="90" w:type="dxa"/>
              <w:end w:w="90" w:type="dxa"/>
            </w:tcMar>
            <w:vAlign w:val="top"/>
          </w:tcPr>
          <w:p>
            <w:r>
              <w:rPr>
                <w:sz w:val="15"/>
              </w:rPr>
              <w:t>Material Intelligence</w:t>
            </w:r>
          </w:p>
        </w:tc>
        <w:tc>
          <w:tcPr>
            <w:tcW w:type="dxa" w:w="4535"/>
            <w:tcMar>
              <w:top w:w="90" w:type="dxa"/>
              <w:start w:w="90" w:type="dxa"/>
              <w:bottom w:w="90" w:type="dxa"/>
              <w:end w:w="90" w:type="dxa"/>
            </w:tcMar>
            <w:vAlign w:val="top"/>
          </w:tcPr>
          <w:p>
            <w:r>
              <w:rPr>
                <w:sz w:val="15"/>
              </w:rPr>
              <w:t>Familien, Typen, Compounds, Eigenschaften und Trade-offs</w:t>
            </w:r>
          </w:p>
        </w:tc>
        <w:tc>
          <w:tcPr>
            <w:tcW w:type="dxa" w:w="2891"/>
            <w:tcMar>
              <w:top w:w="90" w:type="dxa"/>
              <w:start w:w="90" w:type="dxa"/>
              <w:bottom w:w="90" w:type="dxa"/>
              <w:end w:w="90" w:type="dxa"/>
            </w:tcMar>
            <w:vAlign w:val="top"/>
          </w:tcPr>
          <w:p>
            <w:r>
              <w:rPr>
                <w:sz w:val="15"/>
              </w:rPr>
              <w:t>Familie und Produkt gleichsetzen</w:t>
            </w:r>
          </w:p>
        </w:tc>
      </w:tr>
      <w:tr>
        <w:trPr>
          <w:trHeight w:hRule="atLeast"/>
        </w:trPr>
        <w:tc>
          <w:tcPr>
            <w:tcW w:type="dxa" w:w="1984"/>
            <w:tcMar>
              <w:top w:w="90" w:type="dxa"/>
              <w:start w:w="90" w:type="dxa"/>
              <w:bottom w:w="90" w:type="dxa"/>
              <w:end w:w="90" w:type="dxa"/>
            </w:tcMar>
            <w:vAlign w:val="top"/>
          </w:tcPr>
          <w:p>
            <w:r>
              <w:rPr>
                <w:sz w:val="15"/>
              </w:rPr>
              <w:t>Media Intelligence</w:t>
            </w:r>
          </w:p>
        </w:tc>
        <w:tc>
          <w:tcPr>
            <w:tcW w:type="dxa" w:w="4535"/>
            <w:tcMar>
              <w:top w:w="90" w:type="dxa"/>
              <w:start w:w="90" w:type="dxa"/>
              <w:bottom w:w="90" w:type="dxa"/>
              <w:end w:w="90" w:type="dxa"/>
            </w:tcMar>
            <w:vAlign w:val="top"/>
          </w:tcPr>
          <w:p>
            <w:r>
              <w:rPr>
                <w:sz w:val="15"/>
              </w:rPr>
              <w:t>Medium, Zusammensetzung, Bedingungen und Beständigkeit</w:t>
            </w:r>
          </w:p>
        </w:tc>
        <w:tc>
          <w:tcPr>
            <w:tcW w:type="dxa" w:w="2891"/>
            <w:tcMar>
              <w:top w:w="90" w:type="dxa"/>
              <w:start w:w="90" w:type="dxa"/>
              <w:bottom w:w="90" w:type="dxa"/>
              <w:end w:w="90" w:type="dxa"/>
            </w:tcMar>
            <w:vAlign w:val="top"/>
          </w:tcPr>
          <w:p>
            <w:r>
              <w:rPr>
                <w:sz w:val="15"/>
              </w:rPr>
              <w:t>Ampel ohne Geltungsbereich ausgeben</w:t>
            </w:r>
          </w:p>
        </w:tc>
      </w:tr>
      <w:tr>
        <w:trPr>
          <w:trHeight w:hRule="atLeast"/>
        </w:trPr>
        <w:tc>
          <w:tcPr>
            <w:tcW w:type="dxa" w:w="1984"/>
            <w:tcMar>
              <w:top w:w="90" w:type="dxa"/>
              <w:start w:w="90" w:type="dxa"/>
              <w:bottom w:w="90" w:type="dxa"/>
              <w:end w:w="90" w:type="dxa"/>
            </w:tcMar>
            <w:vAlign w:val="top"/>
          </w:tcPr>
          <w:p>
            <w:r>
              <w:rPr>
                <w:sz w:val="15"/>
              </w:rPr>
              <w:t>Compare</w:t>
            </w:r>
          </w:p>
        </w:tc>
        <w:tc>
          <w:tcPr>
            <w:tcW w:type="dxa" w:w="4535"/>
            <w:tcMar>
              <w:top w:w="90" w:type="dxa"/>
              <w:start w:w="90" w:type="dxa"/>
              <w:bottom w:w="90" w:type="dxa"/>
              <w:end w:w="90" w:type="dxa"/>
            </w:tcMar>
            <w:vAlign w:val="top"/>
          </w:tcPr>
          <w:p>
            <w:r>
              <w:rPr>
                <w:sz w:val="15"/>
              </w:rPr>
              <w:t>Kriterienbasierte Vergleiche und Zielkonflikte</w:t>
            </w:r>
          </w:p>
        </w:tc>
        <w:tc>
          <w:tcPr>
            <w:tcW w:type="dxa" w:w="2891"/>
            <w:tcMar>
              <w:top w:w="90" w:type="dxa"/>
              <w:start w:w="90" w:type="dxa"/>
              <w:bottom w:w="90" w:type="dxa"/>
              <w:end w:w="90" w:type="dxa"/>
            </w:tcMar>
            <w:vAlign w:val="top"/>
          </w:tcPr>
          <w:p>
            <w:r>
              <w:rPr>
                <w:sz w:val="15"/>
              </w:rPr>
              <w:t>Unbegründeten Sieger bestimmen</w:t>
            </w:r>
          </w:p>
        </w:tc>
      </w:tr>
      <w:tr>
        <w:trPr>
          <w:trHeight w:hRule="atLeast"/>
        </w:trPr>
        <w:tc>
          <w:tcPr>
            <w:tcW w:type="dxa" w:w="1984"/>
            <w:tcMar>
              <w:top w:w="90" w:type="dxa"/>
              <w:start w:w="90" w:type="dxa"/>
              <w:bottom w:w="90" w:type="dxa"/>
              <w:end w:w="90" w:type="dxa"/>
            </w:tcMar>
            <w:vAlign w:val="top"/>
          </w:tcPr>
          <w:p>
            <w:r>
              <w:rPr>
                <w:sz w:val="15"/>
              </w:rPr>
              <w:t>Engineering Studio</w:t>
            </w:r>
          </w:p>
        </w:tc>
        <w:tc>
          <w:tcPr>
            <w:tcW w:type="dxa" w:w="4535"/>
            <w:tcMar>
              <w:top w:w="90" w:type="dxa"/>
              <w:start w:w="90" w:type="dxa"/>
              <w:bottom w:w="90" w:type="dxa"/>
              <w:end w:w="90" w:type="dxa"/>
            </w:tcMar>
            <w:vAlign w:val="top"/>
          </w:tcPr>
          <w:p>
            <w:r>
              <w:rPr>
                <w:sz w:val="15"/>
              </w:rPr>
              <w:t>Deterministische Berechnungen, Plausibilitäten und Spezifikationen</w:t>
            </w:r>
          </w:p>
        </w:tc>
        <w:tc>
          <w:tcPr>
            <w:tcW w:type="dxa" w:w="2891"/>
            <w:tcMar>
              <w:top w:w="90" w:type="dxa"/>
              <w:start w:w="90" w:type="dxa"/>
              <w:bottom w:w="90" w:type="dxa"/>
              <w:end w:w="90" w:type="dxa"/>
            </w:tcMar>
            <w:vAlign w:val="top"/>
          </w:tcPr>
          <w:p>
            <w:r>
              <w:rPr>
                <w:sz w:val="15"/>
              </w:rPr>
              <w:t>LLM als Rechenkern nutzen</w:t>
            </w:r>
          </w:p>
        </w:tc>
      </w:tr>
      <w:tr>
        <w:trPr>
          <w:trHeight w:hRule="atLeast"/>
        </w:trPr>
        <w:tc>
          <w:tcPr>
            <w:tcW w:type="dxa" w:w="1984"/>
            <w:tcMar>
              <w:top w:w="90" w:type="dxa"/>
              <w:start w:w="90" w:type="dxa"/>
              <w:bottom w:w="90" w:type="dxa"/>
              <w:end w:w="90" w:type="dxa"/>
            </w:tcMar>
            <w:vAlign w:val="top"/>
          </w:tcPr>
          <w:p>
            <w:r>
              <w:rPr>
                <w:sz w:val="15"/>
              </w:rPr>
              <w:t>Failure Intelligence</w:t>
            </w:r>
          </w:p>
        </w:tc>
        <w:tc>
          <w:tcPr>
            <w:tcW w:type="dxa" w:w="4535"/>
            <w:tcMar>
              <w:top w:w="90" w:type="dxa"/>
              <w:start w:w="90" w:type="dxa"/>
              <w:bottom w:w="90" w:type="dxa"/>
              <w:end w:w="90" w:type="dxa"/>
            </w:tcMar>
            <w:vAlign w:val="top"/>
          </w:tcPr>
          <w:p>
            <w:r>
              <w:rPr>
                <w:sz w:val="15"/>
              </w:rPr>
              <w:t>Schadensaufnahme, Hypothesen und Prüfplan</w:t>
            </w:r>
          </w:p>
        </w:tc>
        <w:tc>
          <w:tcPr>
            <w:tcW w:type="dxa" w:w="2891"/>
            <w:tcMar>
              <w:top w:w="90" w:type="dxa"/>
              <w:start w:w="90" w:type="dxa"/>
              <w:bottom w:w="90" w:type="dxa"/>
              <w:end w:w="90" w:type="dxa"/>
            </w:tcMar>
            <w:vAlign w:val="top"/>
          </w:tcPr>
          <w:p>
            <w:r>
              <w:rPr>
                <w:sz w:val="15"/>
              </w:rPr>
              <w:t>Ferndiagnose als Gewissheit ausgeben</w:t>
            </w:r>
          </w:p>
        </w:tc>
      </w:tr>
      <w:tr>
        <w:trPr>
          <w:trHeight w:hRule="atLeast"/>
        </w:trPr>
        <w:tc>
          <w:tcPr>
            <w:tcW w:type="dxa" w:w="1984"/>
            <w:tcMar>
              <w:top w:w="90" w:type="dxa"/>
              <w:start w:w="90" w:type="dxa"/>
              <w:bottom w:w="90" w:type="dxa"/>
              <w:end w:w="90" w:type="dxa"/>
            </w:tcMar>
            <w:vAlign w:val="top"/>
          </w:tcPr>
          <w:p>
            <w:r>
              <w:rPr>
                <w:sz w:val="15"/>
              </w:rPr>
              <w:t>Compliance Navigator</w:t>
            </w:r>
          </w:p>
        </w:tc>
        <w:tc>
          <w:tcPr>
            <w:tcW w:type="dxa" w:w="4535"/>
            <w:tcMar>
              <w:top w:w="90" w:type="dxa"/>
              <w:start w:w="90" w:type="dxa"/>
              <w:bottom w:w="90" w:type="dxa"/>
              <w:end w:w="90" w:type="dxa"/>
            </w:tcMar>
            <w:vAlign w:val="top"/>
          </w:tcPr>
          <w:p>
            <w:r>
              <w:rPr>
                <w:sz w:val="15"/>
              </w:rPr>
              <w:t>Status, Version, Region und Nachweisart</w:t>
            </w:r>
          </w:p>
        </w:tc>
        <w:tc>
          <w:tcPr>
            <w:tcW w:type="dxa" w:w="2891"/>
            <w:tcMar>
              <w:top w:w="90" w:type="dxa"/>
              <w:start w:w="90" w:type="dxa"/>
              <w:bottom w:w="90" w:type="dxa"/>
              <w:end w:w="90" w:type="dxa"/>
            </w:tcMar>
            <w:vAlign w:val="top"/>
          </w:tcPr>
          <w:p>
            <w:r>
              <w:rPr>
                <w:sz w:val="15"/>
              </w:rPr>
              <w:t>Rechts- oder Zertifizierungsfreigabe erteilen</w:t>
            </w:r>
          </w:p>
        </w:tc>
      </w:tr>
      <w:tr>
        <w:trPr>
          <w:trHeight w:hRule="atLeast"/>
        </w:trPr>
        <w:tc>
          <w:tcPr>
            <w:tcW w:type="dxa" w:w="1984"/>
            <w:tcMar>
              <w:top w:w="90" w:type="dxa"/>
              <w:start w:w="90" w:type="dxa"/>
              <w:bottom w:w="90" w:type="dxa"/>
              <w:end w:w="90" w:type="dxa"/>
            </w:tcMar>
            <w:vAlign w:val="top"/>
          </w:tcPr>
          <w:p>
            <w:r>
              <w:rPr>
                <w:sz w:val="15"/>
              </w:rPr>
              <w:t>Manufacturer &amp; Product Graph</w:t>
            </w:r>
          </w:p>
        </w:tc>
        <w:tc>
          <w:tcPr>
            <w:tcW w:type="dxa" w:w="4535"/>
            <w:tcMar>
              <w:top w:w="90" w:type="dxa"/>
              <w:start w:w="90" w:type="dxa"/>
              <w:bottom w:w="90" w:type="dxa"/>
              <w:end w:w="90" w:type="dxa"/>
            </w:tcMar>
            <w:vAlign w:val="top"/>
          </w:tcPr>
          <w:p>
            <w:r>
              <w:rPr>
                <w:sz w:val="15"/>
              </w:rPr>
              <w:t>Verifizierte Kompetenzen, Produkte und Ausschlüsse</w:t>
            </w:r>
          </w:p>
        </w:tc>
        <w:tc>
          <w:tcPr>
            <w:tcW w:type="dxa" w:w="2891"/>
            <w:tcMar>
              <w:top w:w="90" w:type="dxa"/>
              <w:start w:w="90" w:type="dxa"/>
              <w:bottom w:w="90" w:type="dxa"/>
              <w:end w:w="90" w:type="dxa"/>
            </w:tcMar>
            <w:vAlign w:val="top"/>
          </w:tcPr>
          <w:p>
            <w:r>
              <w:rPr>
                <w:sz w:val="15"/>
              </w:rPr>
              <w:t>Bezahlstatus in technischen Fit mischen</w:t>
            </w:r>
          </w:p>
        </w:tc>
      </w:tr>
      <w:tr>
        <w:trPr>
          <w:trHeight w:hRule="atLeast"/>
        </w:trPr>
        <w:tc>
          <w:tcPr>
            <w:tcW w:type="dxa" w:w="1984"/>
            <w:tcMar>
              <w:top w:w="90" w:type="dxa"/>
              <w:start w:w="90" w:type="dxa"/>
              <w:bottom w:w="90" w:type="dxa"/>
              <w:end w:w="90" w:type="dxa"/>
            </w:tcMar>
            <w:vAlign w:val="top"/>
          </w:tcPr>
          <w:p>
            <w:r>
              <w:rPr>
                <w:sz w:val="15"/>
              </w:rPr>
              <w:t>Sealing Case Workspace</w:t>
            </w:r>
          </w:p>
        </w:tc>
        <w:tc>
          <w:tcPr>
            <w:tcW w:type="dxa" w:w="4535"/>
            <w:tcMar>
              <w:top w:w="90" w:type="dxa"/>
              <w:start w:w="90" w:type="dxa"/>
              <w:bottom w:w="90" w:type="dxa"/>
              <w:end w:w="90" w:type="dxa"/>
            </w:tcMar>
            <w:vAlign w:val="top"/>
          </w:tcPr>
          <w:p>
            <w:r>
              <w:rPr>
                <w:sz w:val="15"/>
              </w:rPr>
              <w:t>Versionierter Fall, Aufgaben, Entscheidungen und Übergaben</w:t>
            </w:r>
          </w:p>
        </w:tc>
        <w:tc>
          <w:tcPr>
            <w:tcW w:type="dxa" w:w="2891"/>
            <w:tcMar>
              <w:top w:w="90" w:type="dxa"/>
              <w:start w:w="90" w:type="dxa"/>
              <w:bottom w:w="90" w:type="dxa"/>
              <w:end w:w="90" w:type="dxa"/>
            </w:tcMar>
            <w:vAlign w:val="top"/>
          </w:tcPr>
          <w:p>
            <w:r>
              <w:rPr>
                <w:sz w:val="15"/>
              </w:rPr>
              <w:t>Chattranskript als alleinige Fallakte verwenden</w:t>
            </w:r>
          </w:p>
        </w:tc>
      </w:tr>
      <w:tr>
        <w:trPr>
          <w:trHeight w:hRule="atLeast"/>
        </w:trPr>
        <w:tc>
          <w:tcPr>
            <w:tcW w:type="dxa" w:w="1984"/>
            <w:tcMar>
              <w:top w:w="90" w:type="dxa"/>
              <w:start w:w="90" w:type="dxa"/>
              <w:bottom w:w="90" w:type="dxa"/>
              <w:end w:w="90" w:type="dxa"/>
            </w:tcMar>
            <w:vAlign w:val="top"/>
          </w:tcPr>
          <w:p>
            <w:r>
              <w:rPr>
                <w:sz w:val="15"/>
              </w:rPr>
              <w:t>Asset &amp; Lifecycle Memory</w:t>
            </w:r>
          </w:p>
        </w:tc>
        <w:tc>
          <w:tcPr>
            <w:tcW w:type="dxa" w:w="4535"/>
            <w:tcMar>
              <w:top w:w="90" w:type="dxa"/>
              <w:start w:w="90" w:type="dxa"/>
              <w:bottom w:w="90" w:type="dxa"/>
              <w:end w:w="90" w:type="dxa"/>
            </w:tcMar>
            <w:vAlign w:val="top"/>
          </w:tcPr>
          <w:p>
            <w:r>
              <w:rPr>
                <w:sz w:val="15"/>
              </w:rPr>
              <w:t>Einbau, Charge, Betrieb, Austausch und Outcome</w:t>
            </w:r>
          </w:p>
        </w:tc>
        <w:tc>
          <w:tcPr>
            <w:tcW w:type="dxa" w:w="2891"/>
            <w:tcMar>
              <w:top w:w="90" w:type="dxa"/>
              <w:start w:w="90" w:type="dxa"/>
              <w:bottom w:w="90" w:type="dxa"/>
              <w:end w:w="90" w:type="dxa"/>
            </w:tcMar>
            <w:vAlign w:val="top"/>
          </w:tcPr>
          <w:p>
            <w:r>
              <w:rPr>
                <w:sz w:val="15"/>
              </w:rPr>
              <w:t>Einzeloutcome blind verallgemeinern</w:t>
            </w:r>
          </w:p>
        </w:tc>
      </w:tr>
      <w:tr>
        <w:trPr>
          <w:trHeight w:hRule="atLeast"/>
        </w:trPr>
        <w:tc>
          <w:tcPr>
            <w:tcW w:type="dxa" w:w="1984"/>
            <w:tcMar>
              <w:top w:w="90" w:type="dxa"/>
              <w:start w:w="90" w:type="dxa"/>
              <w:bottom w:w="90" w:type="dxa"/>
              <w:end w:w="90" w:type="dxa"/>
            </w:tcMar>
            <w:vAlign w:val="top"/>
          </w:tcPr>
          <w:p>
            <w:r>
              <w:rPr>
                <w:sz w:val="15"/>
              </w:rPr>
              <w:t>Sealing Academy</w:t>
            </w:r>
          </w:p>
        </w:tc>
        <w:tc>
          <w:tcPr>
            <w:tcW w:type="dxa" w:w="4535"/>
            <w:tcMar>
              <w:top w:w="90" w:type="dxa"/>
              <w:start w:w="90" w:type="dxa"/>
              <w:bottom w:w="90" w:type="dxa"/>
              <w:end w:w="90" w:type="dxa"/>
            </w:tcMar>
            <w:vAlign w:val="top"/>
          </w:tcPr>
          <w:p>
            <w:r>
              <w:rPr>
                <w:sz w:val="15"/>
              </w:rPr>
              <w:t>Lernen, Übungen und Kompetenznachweise</w:t>
            </w:r>
          </w:p>
        </w:tc>
        <w:tc>
          <w:tcPr>
            <w:tcW w:type="dxa" w:w="2891"/>
            <w:tcMar>
              <w:top w:w="90" w:type="dxa"/>
              <w:start w:w="90" w:type="dxa"/>
              <w:bottom w:w="90" w:type="dxa"/>
              <w:end w:w="90" w:type="dxa"/>
            </w:tcMar>
            <w:vAlign w:val="top"/>
          </w:tcPr>
          <w:p>
            <w:r>
              <w:rPr>
                <w:sz w:val="15"/>
              </w:rPr>
              <w:t>Marketing als Fachreview ausgeben</w:t>
            </w:r>
          </w:p>
        </w:tc>
      </w:tr>
      <w:tr>
        <w:trPr>
          <w:trHeight w:hRule="atLeast"/>
        </w:trPr>
        <w:tc>
          <w:tcPr>
            <w:tcW w:type="dxa" w:w="1984"/>
            <w:tcMar>
              <w:top w:w="90" w:type="dxa"/>
              <w:start w:w="90" w:type="dxa"/>
              <w:bottom w:w="90" w:type="dxa"/>
              <w:end w:w="90" w:type="dxa"/>
            </w:tcMar>
            <w:vAlign w:val="top"/>
          </w:tcPr>
          <w:p>
            <w:r>
              <w:rPr>
                <w:sz w:val="15"/>
              </w:rPr>
              <w:t>Organization Knowledge</w:t>
            </w:r>
          </w:p>
        </w:tc>
        <w:tc>
          <w:tcPr>
            <w:tcW w:type="dxa" w:w="4535"/>
            <w:tcMar>
              <w:top w:w="90" w:type="dxa"/>
              <w:start w:w="90" w:type="dxa"/>
              <w:bottom w:w="90" w:type="dxa"/>
              <w:end w:w="90" w:type="dxa"/>
            </w:tcMar>
            <w:vAlign w:val="top"/>
          </w:tcPr>
          <w:p>
            <w:r>
              <w:rPr>
                <w:sz w:val="15"/>
              </w:rPr>
              <w:t>Tenant-eigenes Wissen, Rechte und Integrationen</w:t>
            </w:r>
          </w:p>
        </w:tc>
        <w:tc>
          <w:tcPr>
            <w:tcW w:type="dxa" w:w="2891"/>
            <w:tcMar>
              <w:top w:w="90" w:type="dxa"/>
              <w:start w:w="90" w:type="dxa"/>
              <w:bottom w:w="90" w:type="dxa"/>
              <w:end w:w="90" w:type="dxa"/>
            </w:tcMar>
            <w:vAlign w:val="top"/>
          </w:tcPr>
          <w:p>
            <w:r>
              <w:rPr>
                <w:sz w:val="15"/>
              </w:rPr>
              <w:t>Cross-Tenant-Daten vermischen</w:t>
            </w:r>
          </w:p>
        </w:tc>
      </w:tr>
    </w:tbl>
    <w:p/>
    <w:p>
      <w:r>
        <w:br w:type="page"/>
      </w:r>
    </w:p>
    <w:p>
      <w:pPr>
        <w:pStyle w:val="Heading1"/>
      </w:pPr>
      <w:r>
        <w:t>10. Daten- und Wissensarchitektur</w:t>
      </w:r>
    </w:p>
    <w:p>
      <w:pPr>
        <w:pStyle w:val="Heading2"/>
      </w:pPr>
      <w:r>
        <w:t>10.1 Claims als kleinste Wissenseinheit</w:t>
      </w:r>
    </w:p>
    <w:p>
      <w:r>
        <w:t>Die kanonische Wissenseinheit ist der technische Claim, nicht das Dokument und nicht der generierte Absatz. Ein Claim beschreibt genau eine Aussage und trägt seine Beweis- und Geltungsinformationen mit.</w:t>
      </w:r>
    </w:p>
    <w:tbl>
      <w:tblPr>
        <w:tblStyle w:val="TableGrid"/>
        <w:tblW w:type="auto" w:w="0"/>
        <w:jc w:val="center"/>
        <w:tblLook w:firstColumn="1" w:firstRow="1" w:lastColumn="0" w:lastRow="0" w:noHBand="0" w:noVBand="1" w:val="04A0"/>
      </w:tblPr>
      <w:tblGrid>
        <w:gridCol w:w="4929"/>
        <w:gridCol w:w="4929"/>
      </w:tblGrid>
      <w:tr>
        <w:tc>
          <w:tcPr>
            <w:tcW w:type="dxa" w:w="1871"/>
            <w:shd w:fill="17324D"/>
            <w:tcMar>
              <w:top w:w="90" w:type="dxa"/>
              <w:start w:w="90" w:type="dxa"/>
              <w:bottom w:w="90" w:type="dxa"/>
              <w:end w:w="90" w:type="dxa"/>
            </w:tcMar>
            <w:vAlign w:val="center"/>
          </w:tcPr>
          <w:p>
            <w:pPr>
              <w:jc w:val="left"/>
            </w:pPr>
            <w:r>
              <w:rPr>
                <w:b/>
                <w:color w:val="FFFFFF"/>
                <w:sz w:val="17"/>
              </w:rPr>
              <w:t>Feldgruppe</w:t>
            </w:r>
          </w:p>
        </w:tc>
        <w:tc>
          <w:tcPr>
            <w:tcW w:type="dxa" w:w="7540"/>
            <w:shd w:fill="17324D"/>
            <w:tcMar>
              <w:top w:w="90" w:type="dxa"/>
              <w:start w:w="90" w:type="dxa"/>
              <w:bottom w:w="90" w:type="dxa"/>
              <w:end w:w="90" w:type="dxa"/>
            </w:tcMar>
            <w:vAlign w:val="center"/>
          </w:tcPr>
          <w:p>
            <w:pPr>
              <w:jc w:val="left"/>
            </w:pPr>
            <w:r>
              <w:rPr>
                <w:b/>
                <w:color w:val="FFFFFF"/>
                <w:sz w:val="17"/>
              </w:rPr>
              <w:t>Pflichtinhalt</w:t>
            </w:r>
          </w:p>
        </w:tc>
      </w:tr>
      <w:tr>
        <w:trPr>
          <w:trHeight w:hRule="atLeast"/>
        </w:trPr>
        <w:tc>
          <w:tcPr>
            <w:tcW w:type="dxa" w:w="1871"/>
            <w:tcMar>
              <w:top w:w="90" w:type="dxa"/>
              <w:start w:w="90" w:type="dxa"/>
              <w:bottom w:w="90" w:type="dxa"/>
              <w:end w:w="90" w:type="dxa"/>
            </w:tcMar>
            <w:vAlign w:val="top"/>
          </w:tcPr>
          <w:p>
            <w:r>
              <w:rPr>
                <w:b/>
                <w:color w:val="002A5B"/>
                <w:sz w:val="17"/>
              </w:rPr>
              <w:t>Identität</w:t>
            </w:r>
          </w:p>
        </w:tc>
        <w:tc>
          <w:tcPr>
            <w:tcW w:type="dxa" w:w="7540"/>
            <w:tcMar>
              <w:top w:w="90" w:type="dxa"/>
              <w:start w:w="90" w:type="dxa"/>
              <w:bottom w:w="90" w:type="dxa"/>
              <w:end w:w="90" w:type="dxa"/>
            </w:tcMar>
            <w:vAlign w:val="top"/>
          </w:tcPr>
          <w:p>
            <w:r>
              <w:rPr>
                <w:sz w:val="17"/>
              </w:rPr>
              <w:t>Claim-ID, Version, Status, Erstell- und Reviewdatum</w:t>
            </w:r>
          </w:p>
        </w:tc>
      </w:tr>
      <w:tr>
        <w:trPr>
          <w:trHeight w:hRule="atLeast"/>
        </w:trPr>
        <w:tc>
          <w:tcPr>
            <w:tcW w:type="dxa" w:w="1871"/>
            <w:tcMar>
              <w:top w:w="90" w:type="dxa"/>
              <w:start w:w="90" w:type="dxa"/>
              <w:bottom w:w="90" w:type="dxa"/>
              <w:end w:w="90" w:type="dxa"/>
            </w:tcMar>
            <w:vAlign w:val="top"/>
          </w:tcPr>
          <w:p>
            <w:r>
              <w:rPr>
                <w:b/>
                <w:color w:val="002A5B"/>
                <w:sz w:val="17"/>
              </w:rPr>
              <w:t>Aussage</w:t>
            </w:r>
          </w:p>
        </w:tc>
        <w:tc>
          <w:tcPr>
            <w:tcW w:type="dxa" w:w="7540"/>
            <w:tcMar>
              <w:top w:w="90" w:type="dxa"/>
              <w:start w:w="90" w:type="dxa"/>
              <w:bottom w:w="90" w:type="dxa"/>
              <w:end w:w="90" w:type="dxa"/>
            </w:tcMar>
            <w:vAlign w:val="top"/>
          </w:tcPr>
          <w:p>
            <w:r>
              <w:rPr>
                <w:sz w:val="17"/>
              </w:rPr>
              <w:t>Normalisierte technische Aussage und Datentyp</w:t>
            </w:r>
          </w:p>
        </w:tc>
      </w:tr>
      <w:tr>
        <w:trPr>
          <w:trHeight w:hRule="atLeast"/>
        </w:trPr>
        <w:tc>
          <w:tcPr>
            <w:tcW w:type="dxa" w:w="1871"/>
            <w:tcMar>
              <w:top w:w="90" w:type="dxa"/>
              <w:start w:w="90" w:type="dxa"/>
              <w:bottom w:w="90" w:type="dxa"/>
              <w:end w:w="90" w:type="dxa"/>
            </w:tcMar>
            <w:vAlign w:val="top"/>
          </w:tcPr>
          <w:p>
            <w:r>
              <w:rPr>
                <w:b/>
                <w:color w:val="002A5B"/>
                <w:sz w:val="17"/>
              </w:rPr>
              <w:t>Subjekt</w:t>
            </w:r>
          </w:p>
        </w:tc>
        <w:tc>
          <w:tcPr>
            <w:tcW w:type="dxa" w:w="7540"/>
            <w:tcMar>
              <w:top w:w="90" w:type="dxa"/>
              <w:start w:w="90" w:type="dxa"/>
              <w:bottom w:w="90" w:type="dxa"/>
              <w:end w:w="90" w:type="dxa"/>
            </w:tcMar>
            <w:vAlign w:val="top"/>
          </w:tcPr>
          <w:p>
            <w:r>
              <w:rPr>
                <w:sz w:val="17"/>
              </w:rPr>
              <w:t>Dichtung, Werkstofffamilie, Compound, Medium, Norm, Prozess oder Produkt</w:t>
            </w:r>
          </w:p>
        </w:tc>
      </w:tr>
      <w:tr>
        <w:trPr>
          <w:trHeight w:hRule="atLeast"/>
        </w:trPr>
        <w:tc>
          <w:tcPr>
            <w:tcW w:type="dxa" w:w="1871"/>
            <w:tcMar>
              <w:top w:w="90" w:type="dxa"/>
              <w:start w:w="90" w:type="dxa"/>
              <w:bottom w:w="90" w:type="dxa"/>
              <w:end w:w="90" w:type="dxa"/>
            </w:tcMar>
            <w:vAlign w:val="top"/>
          </w:tcPr>
          <w:p>
            <w:r>
              <w:rPr>
                <w:b/>
                <w:color w:val="002A5B"/>
                <w:sz w:val="17"/>
              </w:rPr>
              <w:t>Applicability</w:t>
            </w:r>
          </w:p>
        </w:tc>
        <w:tc>
          <w:tcPr>
            <w:tcW w:type="dxa" w:w="7540"/>
            <w:tcMar>
              <w:top w:w="90" w:type="dxa"/>
              <w:start w:w="90" w:type="dxa"/>
              <w:bottom w:w="90" w:type="dxa"/>
              <w:end w:w="90" w:type="dxa"/>
            </w:tcMar>
            <w:vAlign w:val="top"/>
          </w:tcPr>
          <w:p>
            <w:r>
              <w:rPr>
                <w:sz w:val="17"/>
              </w:rPr>
              <w:t>Temperatur, Druck, Konzentration, Bewegung, Branche, Region, Dichtungstyp und weitere Bedingungen</w:t>
            </w:r>
          </w:p>
        </w:tc>
      </w:tr>
      <w:tr>
        <w:trPr>
          <w:trHeight w:hRule="atLeast"/>
        </w:trPr>
        <w:tc>
          <w:tcPr>
            <w:tcW w:type="dxa" w:w="1871"/>
            <w:tcMar>
              <w:top w:w="90" w:type="dxa"/>
              <w:start w:w="90" w:type="dxa"/>
              <w:bottom w:w="90" w:type="dxa"/>
              <w:end w:w="90" w:type="dxa"/>
            </w:tcMar>
            <w:vAlign w:val="top"/>
          </w:tcPr>
          <w:p>
            <w:r>
              <w:rPr>
                <w:b/>
                <w:color w:val="002A5B"/>
                <w:sz w:val="17"/>
              </w:rPr>
              <w:t>Evidenz</w:t>
            </w:r>
          </w:p>
        </w:tc>
        <w:tc>
          <w:tcPr>
            <w:tcW w:type="dxa" w:w="7540"/>
            <w:tcMar>
              <w:top w:w="90" w:type="dxa"/>
              <w:start w:w="90" w:type="dxa"/>
              <w:bottom w:w="90" w:type="dxa"/>
              <w:end w:w="90" w:type="dxa"/>
            </w:tcMar>
            <w:vAlign w:val="top"/>
          </w:tcPr>
          <w:p>
            <w:r>
              <w:rPr>
                <w:sz w:val="17"/>
              </w:rPr>
              <w:t>Quelle, Seiten-/Abschnittsbezug, Quellentyp, Reviewstatus, Konflikte</w:t>
            </w:r>
          </w:p>
        </w:tc>
      </w:tr>
      <w:tr>
        <w:trPr>
          <w:trHeight w:hRule="atLeast"/>
        </w:trPr>
        <w:tc>
          <w:tcPr>
            <w:tcW w:type="dxa" w:w="1871"/>
            <w:tcMar>
              <w:top w:w="90" w:type="dxa"/>
              <w:start w:w="90" w:type="dxa"/>
              <w:bottom w:w="90" w:type="dxa"/>
              <w:end w:w="90" w:type="dxa"/>
            </w:tcMar>
            <w:vAlign w:val="top"/>
          </w:tcPr>
          <w:p>
            <w:r>
              <w:rPr>
                <w:b/>
                <w:color w:val="002A5B"/>
                <w:sz w:val="17"/>
              </w:rPr>
              <w:t>Unsicherheit</w:t>
            </w:r>
          </w:p>
        </w:tc>
        <w:tc>
          <w:tcPr>
            <w:tcW w:type="dxa" w:w="7540"/>
            <w:tcMar>
              <w:top w:w="90" w:type="dxa"/>
              <w:start w:w="90" w:type="dxa"/>
              <w:bottom w:w="90" w:type="dxa"/>
              <w:end w:w="90" w:type="dxa"/>
            </w:tcMar>
            <w:vAlign w:val="top"/>
          </w:tcPr>
          <w:p>
            <w:r>
              <w:rPr>
                <w:sz w:val="17"/>
              </w:rPr>
              <w:t>Known, unknown, conditional, conflicting, not sufficiently supported</w:t>
            </w:r>
          </w:p>
        </w:tc>
      </w:tr>
      <w:tr>
        <w:trPr>
          <w:trHeight w:hRule="atLeast"/>
        </w:trPr>
        <w:tc>
          <w:tcPr>
            <w:tcW w:type="dxa" w:w="1871"/>
            <w:tcMar>
              <w:top w:w="90" w:type="dxa"/>
              <w:start w:w="90" w:type="dxa"/>
              <w:bottom w:w="90" w:type="dxa"/>
              <w:end w:w="90" w:type="dxa"/>
            </w:tcMar>
            <w:vAlign w:val="top"/>
          </w:tcPr>
          <w:p>
            <w:r>
              <w:rPr>
                <w:b/>
                <w:color w:val="002A5B"/>
                <w:sz w:val="17"/>
              </w:rPr>
              <w:t>Übertragbarkeit</w:t>
            </w:r>
          </w:p>
        </w:tc>
        <w:tc>
          <w:tcPr>
            <w:tcW w:type="dxa" w:w="7540"/>
            <w:tcMar>
              <w:top w:w="90" w:type="dxa"/>
              <w:start w:w="90" w:type="dxa"/>
              <w:bottom w:w="90" w:type="dxa"/>
              <w:end w:w="90" w:type="dxa"/>
            </w:tcMar>
            <w:vAlign w:val="top"/>
          </w:tcPr>
          <w:p>
            <w:r>
              <w:rPr>
                <w:sz w:val="17"/>
              </w:rPr>
              <w:t>Welche Ebene gilt: Familie, Typ, Compound, Produkt, Charge oder konkreter Fall</w:t>
            </w:r>
          </w:p>
        </w:tc>
      </w:tr>
      <w:tr>
        <w:trPr>
          <w:trHeight w:hRule="atLeast"/>
        </w:trPr>
        <w:tc>
          <w:tcPr>
            <w:tcW w:type="dxa" w:w="1871"/>
            <w:tcMar>
              <w:top w:w="90" w:type="dxa"/>
              <w:start w:w="90" w:type="dxa"/>
              <w:bottom w:w="90" w:type="dxa"/>
              <w:end w:w="90" w:type="dxa"/>
            </w:tcMar>
            <w:vAlign w:val="top"/>
          </w:tcPr>
          <w:p>
            <w:r>
              <w:rPr>
                <w:b/>
                <w:color w:val="002A5B"/>
                <w:sz w:val="17"/>
              </w:rPr>
              <w:t>Governance</w:t>
            </w:r>
          </w:p>
        </w:tc>
        <w:tc>
          <w:tcPr>
            <w:tcW w:type="dxa" w:w="7540"/>
            <w:tcMar>
              <w:top w:w="90" w:type="dxa"/>
              <w:start w:w="90" w:type="dxa"/>
              <w:bottom w:w="90" w:type="dxa"/>
              <w:end w:w="90" w:type="dxa"/>
            </w:tcMar>
            <w:vAlign w:val="top"/>
          </w:tcPr>
          <w:p>
            <w:r>
              <w:rPr>
                <w:sz w:val="17"/>
              </w:rPr>
              <w:t>Reviewer, Freigabestatus, Ablauf-/Reviewdatum, Änderungsgrund</w:t>
            </w:r>
          </w:p>
        </w:tc>
      </w:tr>
    </w:tbl>
    <w:p/>
    <w:p>
      <w:pPr>
        <w:pStyle w:val="Heading2"/>
      </w:pPr>
      <w:r>
        <w:t>10.2 Kernobjekte</w:t>
      </w:r>
    </w:p>
    <w:p>
      <w:pPr>
        <w:pStyle w:val="ListBullet"/>
        <w:spacing w:after="40"/>
      </w:pPr>
      <w:r>
        <w:t>SealType, SealPrinciple, Component und Geometry</w:t>
      </w:r>
    </w:p>
    <w:p>
      <w:pPr>
        <w:pStyle w:val="ListBullet"/>
        <w:spacing w:after="40"/>
      </w:pPr>
      <w:r>
        <w:t>MaterialFamily, MaterialType, Compound, Product und Batch</w:t>
      </w:r>
    </w:p>
    <w:p>
      <w:pPr>
        <w:pStyle w:val="ListBullet"/>
        <w:spacing w:after="40"/>
      </w:pPr>
      <w:r>
        <w:t>Medium, Mixture, Concentration und OperatingProfile</w:t>
      </w:r>
    </w:p>
    <w:p>
      <w:pPr>
        <w:pStyle w:val="ListBullet"/>
        <w:spacing w:after="40"/>
      </w:pPr>
      <w:r>
        <w:t>Claim, Source, SourceVersion, ApplicabilityScope und Conflict</w:t>
      </w:r>
    </w:p>
    <w:p>
      <w:pPr>
        <w:pStyle w:val="ListBullet"/>
        <w:spacing w:after="40"/>
      </w:pPr>
      <w:r>
        <w:t>Case, CaseSnapshot, Fact, Unknown, Assumption, Risk und Decision</w:t>
      </w:r>
    </w:p>
    <w:p>
      <w:pPr>
        <w:pStyle w:val="ListBullet"/>
        <w:spacing w:after="40"/>
      </w:pPr>
      <w:r>
        <w:t>Calculation, Formula, Input, Result und ValidationStatus</w:t>
      </w:r>
    </w:p>
    <w:p>
      <w:pPr>
        <w:pStyle w:val="ListBullet"/>
        <w:spacing w:after="40"/>
      </w:pPr>
      <w:r>
        <w:t>FailureObservation, Hypothesis, Test und RootCause</w:t>
      </w:r>
    </w:p>
    <w:p>
      <w:pPr>
        <w:pStyle w:val="ListBullet"/>
        <w:spacing w:after="40"/>
      </w:pPr>
      <w:r>
        <w:t>Manufacturer, Capability, Evidence und Product</w:t>
      </w:r>
    </w:p>
    <w:p>
      <w:pPr>
        <w:pStyle w:val="ListBullet"/>
        <w:spacing w:after="40"/>
      </w:pPr>
      <w:r>
        <w:t>Approval, Reviewer, Scope und Limitation</w:t>
      </w:r>
    </w:p>
    <w:p>
      <w:pPr>
        <w:pStyle w:val="ListBullet"/>
        <w:spacing w:after="40"/>
      </w:pPr>
      <w:r>
        <w:t>Asset, Installation, Inspection, Replacement und Outcome</w:t>
      </w:r>
    </w:p>
    <w:p>
      <w:pPr>
        <w:pStyle w:val="ListBullet"/>
        <w:spacing w:after="40"/>
      </w:pPr>
      <w:r>
        <w:t>Document, Artifact, Revision und AccessPolicy</w:t>
      </w:r>
    </w:p>
    <w:p>
      <w:pPr>
        <w:pStyle w:val="Heading2"/>
      </w:pPr>
      <w:r>
        <w:t>10.3 Datenzonen</w:t>
      </w:r>
    </w:p>
    <w:tbl>
      <w:tblPr>
        <w:tblStyle w:val="TableGrid"/>
        <w:tblW w:type="auto" w:w="0"/>
        <w:jc w:val="center"/>
        <w:tblLook w:firstColumn="1" w:firstRow="1" w:lastColumn="0" w:lastRow="0" w:noHBand="0" w:noVBand="1" w:val="04A0"/>
      </w:tblPr>
      <w:tblGrid>
        <w:gridCol w:w="3286"/>
        <w:gridCol w:w="3286"/>
        <w:gridCol w:w="3286"/>
      </w:tblGrid>
      <w:tr>
        <w:tc>
          <w:tcPr>
            <w:tcW w:type="dxa" w:w="1701"/>
            <w:shd w:fill="17324D"/>
            <w:tcMar>
              <w:top w:w="90" w:type="dxa"/>
              <w:start w:w="90" w:type="dxa"/>
              <w:bottom w:w="90" w:type="dxa"/>
              <w:end w:w="90" w:type="dxa"/>
            </w:tcMar>
            <w:vAlign w:val="center"/>
          </w:tcPr>
          <w:p>
            <w:pPr>
              <w:jc w:val="left"/>
            </w:pPr>
            <w:r>
              <w:rPr>
                <w:b/>
                <w:color w:val="FFFFFF"/>
                <w:sz w:val="17"/>
              </w:rPr>
              <w:t>Zone</w:t>
            </w:r>
          </w:p>
        </w:tc>
        <w:tc>
          <w:tcPr>
            <w:tcW w:type="dxa" w:w="4025"/>
            <w:shd w:fill="17324D"/>
            <w:tcMar>
              <w:top w:w="90" w:type="dxa"/>
              <w:start w:w="90" w:type="dxa"/>
              <w:bottom w:w="90" w:type="dxa"/>
              <w:end w:w="90" w:type="dxa"/>
            </w:tcMar>
            <w:vAlign w:val="center"/>
          </w:tcPr>
          <w:p>
            <w:pPr>
              <w:jc w:val="left"/>
            </w:pPr>
            <w:r>
              <w:rPr>
                <w:b/>
                <w:color w:val="FFFFFF"/>
                <w:sz w:val="17"/>
              </w:rPr>
              <w:t>Inhalt</w:t>
            </w:r>
          </w:p>
        </w:tc>
        <w:tc>
          <w:tcPr>
            <w:tcW w:type="dxa" w:w="3685"/>
            <w:shd w:fill="17324D"/>
            <w:tcMar>
              <w:top w:w="90" w:type="dxa"/>
              <w:start w:w="90" w:type="dxa"/>
              <w:bottom w:w="90" w:type="dxa"/>
              <w:end w:w="90" w:type="dxa"/>
            </w:tcMar>
            <w:vAlign w:val="center"/>
          </w:tcPr>
          <w:p>
            <w:pPr>
              <w:jc w:val="left"/>
            </w:pPr>
            <w:r>
              <w:rPr>
                <w:b/>
                <w:color w:val="FFFFFF"/>
                <w:sz w:val="17"/>
              </w:rPr>
              <w:t>Nutzung</w:t>
            </w:r>
          </w:p>
        </w:tc>
      </w:tr>
      <w:tr>
        <w:trPr>
          <w:trHeight w:hRule="atLeast"/>
        </w:trPr>
        <w:tc>
          <w:tcPr>
            <w:tcW w:type="dxa" w:w="1701"/>
            <w:tcMar>
              <w:top w:w="90" w:type="dxa"/>
              <w:start w:w="90" w:type="dxa"/>
              <w:bottom w:w="90" w:type="dxa"/>
              <w:end w:w="90" w:type="dxa"/>
            </w:tcMar>
            <w:vAlign w:val="top"/>
          </w:tcPr>
          <w:p>
            <w:r>
              <w:rPr>
                <w:b/>
                <w:color w:val="002A5B"/>
                <w:sz w:val="17"/>
              </w:rPr>
              <w:t>Draft</w:t>
            </w:r>
          </w:p>
        </w:tc>
        <w:tc>
          <w:tcPr>
            <w:tcW w:type="dxa" w:w="4025"/>
            <w:tcMar>
              <w:top w:w="90" w:type="dxa"/>
              <w:start w:w="90" w:type="dxa"/>
              <w:bottom w:w="90" w:type="dxa"/>
              <w:end w:w="90" w:type="dxa"/>
            </w:tcMar>
            <w:vAlign w:val="top"/>
          </w:tcPr>
          <w:p>
            <w:r>
              <w:rPr>
                <w:sz w:val="17"/>
              </w:rPr>
              <w:t>KI-extrahierte oder ungeprüfte Claims</w:t>
            </w:r>
          </w:p>
        </w:tc>
        <w:tc>
          <w:tcPr>
            <w:tcW w:type="dxa" w:w="3685"/>
            <w:tcMar>
              <w:top w:w="90" w:type="dxa"/>
              <w:start w:w="90" w:type="dxa"/>
              <w:bottom w:w="90" w:type="dxa"/>
              <w:end w:w="90" w:type="dxa"/>
            </w:tcMar>
            <w:vAlign w:val="top"/>
          </w:tcPr>
          <w:p>
            <w:r>
              <w:rPr>
                <w:sz w:val="17"/>
              </w:rPr>
              <w:t>Review-Queue; nicht autoritativ</w:t>
            </w:r>
          </w:p>
        </w:tc>
      </w:tr>
      <w:tr>
        <w:trPr>
          <w:trHeight w:hRule="atLeast"/>
        </w:trPr>
        <w:tc>
          <w:tcPr>
            <w:tcW w:type="dxa" w:w="1701"/>
            <w:tcMar>
              <w:top w:w="90" w:type="dxa"/>
              <w:start w:w="90" w:type="dxa"/>
              <w:bottom w:w="90" w:type="dxa"/>
              <w:end w:w="90" w:type="dxa"/>
            </w:tcMar>
            <w:vAlign w:val="top"/>
          </w:tcPr>
          <w:p>
            <w:r>
              <w:rPr>
                <w:b/>
                <w:color w:val="002A5B"/>
                <w:sz w:val="17"/>
              </w:rPr>
              <w:t>Reviewed</w:t>
            </w:r>
          </w:p>
        </w:tc>
        <w:tc>
          <w:tcPr>
            <w:tcW w:type="dxa" w:w="4025"/>
            <w:tcMar>
              <w:top w:w="90" w:type="dxa"/>
              <w:start w:w="90" w:type="dxa"/>
              <w:bottom w:w="90" w:type="dxa"/>
              <w:end w:w="90" w:type="dxa"/>
            </w:tcMar>
            <w:vAlign w:val="top"/>
          </w:tcPr>
          <w:p>
            <w:r>
              <w:rPr>
                <w:sz w:val="17"/>
              </w:rPr>
              <w:t>Fachlich geprüfte Claims</w:t>
            </w:r>
          </w:p>
        </w:tc>
        <w:tc>
          <w:tcPr>
            <w:tcW w:type="dxa" w:w="3685"/>
            <w:tcMar>
              <w:top w:w="90" w:type="dxa"/>
              <w:start w:w="90" w:type="dxa"/>
              <w:bottom w:w="90" w:type="dxa"/>
              <w:end w:w="90" w:type="dxa"/>
            </w:tcMar>
            <w:vAlign w:val="top"/>
          </w:tcPr>
          <w:p>
            <w:r>
              <w:rPr>
                <w:sz w:val="17"/>
              </w:rPr>
              <w:t>Grounding, Vergleich, Verifier</w:t>
            </w:r>
          </w:p>
        </w:tc>
      </w:tr>
      <w:tr>
        <w:trPr>
          <w:trHeight w:hRule="atLeast"/>
        </w:trPr>
        <w:tc>
          <w:tcPr>
            <w:tcW w:type="dxa" w:w="1701"/>
            <w:tcMar>
              <w:top w:w="90" w:type="dxa"/>
              <w:start w:w="90" w:type="dxa"/>
              <w:bottom w:w="90" w:type="dxa"/>
              <w:end w:w="90" w:type="dxa"/>
            </w:tcMar>
            <w:vAlign w:val="top"/>
          </w:tcPr>
          <w:p>
            <w:r>
              <w:rPr>
                <w:b/>
                <w:color w:val="002A5B"/>
                <w:sz w:val="17"/>
              </w:rPr>
              <w:t>Quarantined</w:t>
            </w:r>
          </w:p>
        </w:tc>
        <w:tc>
          <w:tcPr>
            <w:tcW w:type="dxa" w:w="4025"/>
            <w:tcMar>
              <w:top w:w="90" w:type="dxa"/>
              <w:start w:w="90" w:type="dxa"/>
              <w:bottom w:w="90" w:type="dxa"/>
              <w:end w:w="90" w:type="dxa"/>
            </w:tcMar>
            <w:vAlign w:val="top"/>
          </w:tcPr>
          <w:p>
            <w:r>
              <w:rPr>
                <w:sz w:val="17"/>
              </w:rPr>
              <w:t>Konfliktbehaftete oder unzureichend unterstützte Claims</w:t>
            </w:r>
          </w:p>
        </w:tc>
        <w:tc>
          <w:tcPr>
            <w:tcW w:type="dxa" w:w="3685"/>
            <w:tcMar>
              <w:top w:w="90" w:type="dxa"/>
              <w:start w:w="90" w:type="dxa"/>
              <w:bottom w:w="90" w:type="dxa"/>
              <w:end w:w="90" w:type="dxa"/>
            </w:tcMar>
            <w:vAlign w:val="top"/>
          </w:tcPr>
          <w:p>
            <w:r>
              <w:rPr>
                <w:sz w:val="17"/>
              </w:rPr>
              <w:t>Sichtbar für Review, nicht für definitive Aussagen</w:t>
            </w:r>
          </w:p>
        </w:tc>
      </w:tr>
      <w:tr>
        <w:trPr>
          <w:trHeight w:hRule="atLeast"/>
        </w:trPr>
        <w:tc>
          <w:tcPr>
            <w:tcW w:type="dxa" w:w="1701"/>
            <w:tcMar>
              <w:top w:w="90" w:type="dxa"/>
              <w:start w:w="90" w:type="dxa"/>
              <w:bottom w:w="90" w:type="dxa"/>
              <w:end w:w="90" w:type="dxa"/>
            </w:tcMar>
            <w:vAlign w:val="top"/>
          </w:tcPr>
          <w:p>
            <w:r>
              <w:rPr>
                <w:b/>
                <w:color w:val="002A5B"/>
                <w:sz w:val="17"/>
              </w:rPr>
              <w:t>Tenant Private</w:t>
            </w:r>
          </w:p>
        </w:tc>
        <w:tc>
          <w:tcPr>
            <w:tcW w:type="dxa" w:w="4025"/>
            <w:tcMar>
              <w:top w:w="90" w:type="dxa"/>
              <w:start w:w="90" w:type="dxa"/>
              <w:bottom w:w="90" w:type="dxa"/>
              <w:end w:w="90" w:type="dxa"/>
            </w:tcMar>
            <w:vAlign w:val="top"/>
          </w:tcPr>
          <w:p>
            <w:r>
              <w:rPr>
                <w:sz w:val="17"/>
              </w:rPr>
              <w:t>Unternehmens- und Falldaten</w:t>
            </w:r>
          </w:p>
        </w:tc>
        <w:tc>
          <w:tcPr>
            <w:tcW w:type="dxa" w:w="3685"/>
            <w:tcMar>
              <w:top w:w="90" w:type="dxa"/>
              <w:start w:w="90" w:type="dxa"/>
              <w:bottom w:w="90" w:type="dxa"/>
              <w:end w:w="90" w:type="dxa"/>
            </w:tcMar>
            <w:vAlign w:val="top"/>
          </w:tcPr>
          <w:p>
            <w:r>
              <w:rPr>
                <w:sz w:val="17"/>
              </w:rPr>
              <w:t>Nur tenant- und rollenbezogen</w:t>
            </w:r>
          </w:p>
        </w:tc>
      </w:tr>
      <w:tr>
        <w:trPr>
          <w:trHeight w:hRule="atLeast"/>
        </w:trPr>
        <w:tc>
          <w:tcPr>
            <w:tcW w:type="dxa" w:w="1701"/>
            <w:tcMar>
              <w:top w:w="90" w:type="dxa"/>
              <w:start w:w="90" w:type="dxa"/>
              <w:bottom w:w="90" w:type="dxa"/>
              <w:end w:w="90" w:type="dxa"/>
            </w:tcMar>
            <w:vAlign w:val="top"/>
          </w:tcPr>
          <w:p>
            <w:r>
              <w:rPr>
                <w:b/>
                <w:color w:val="002A5B"/>
                <w:sz w:val="17"/>
              </w:rPr>
              <w:t>Derived</w:t>
            </w:r>
          </w:p>
        </w:tc>
        <w:tc>
          <w:tcPr>
            <w:tcW w:type="dxa" w:w="4025"/>
            <w:tcMar>
              <w:top w:w="90" w:type="dxa"/>
              <w:start w:w="90" w:type="dxa"/>
              <w:bottom w:w="90" w:type="dxa"/>
              <w:end w:w="90" w:type="dxa"/>
            </w:tcMar>
            <w:vAlign w:val="top"/>
          </w:tcPr>
          <w:p>
            <w:r>
              <w:rPr>
                <w:sz w:val="17"/>
              </w:rPr>
              <w:t>Embeddings, Suchindex, Zusammenfassungen und Scores</w:t>
            </w:r>
          </w:p>
        </w:tc>
        <w:tc>
          <w:tcPr>
            <w:tcW w:type="dxa" w:w="3685"/>
            <w:tcMar>
              <w:top w:w="90" w:type="dxa"/>
              <w:start w:w="90" w:type="dxa"/>
              <w:bottom w:w="90" w:type="dxa"/>
              <w:end w:w="90" w:type="dxa"/>
            </w:tcMar>
            <w:vAlign w:val="top"/>
          </w:tcPr>
          <w:p>
            <w:r>
              <w:rPr>
                <w:sz w:val="17"/>
              </w:rPr>
              <w:t>Rebuildable, niemals SoR</w:t>
            </w:r>
          </w:p>
        </w:tc>
      </w:tr>
      <w:tr>
        <w:trPr>
          <w:trHeight w:hRule="atLeast"/>
        </w:trPr>
        <w:tc>
          <w:tcPr>
            <w:tcW w:type="dxa" w:w="1701"/>
            <w:tcMar>
              <w:top w:w="90" w:type="dxa"/>
              <w:start w:w="90" w:type="dxa"/>
              <w:bottom w:w="90" w:type="dxa"/>
              <w:end w:w="90" w:type="dxa"/>
            </w:tcMar>
            <w:vAlign w:val="top"/>
          </w:tcPr>
          <w:p>
            <w:r>
              <w:rPr>
                <w:b/>
                <w:color w:val="002A5B"/>
                <w:sz w:val="17"/>
              </w:rPr>
              <w:t>Audit</w:t>
            </w:r>
          </w:p>
        </w:tc>
        <w:tc>
          <w:tcPr>
            <w:tcW w:type="dxa" w:w="4025"/>
            <w:tcMar>
              <w:top w:w="90" w:type="dxa"/>
              <w:start w:w="90" w:type="dxa"/>
              <w:bottom w:w="90" w:type="dxa"/>
              <w:end w:w="90" w:type="dxa"/>
            </w:tcMar>
            <w:vAlign w:val="top"/>
          </w:tcPr>
          <w:p>
            <w:r>
              <w:rPr>
                <w:sz w:val="17"/>
              </w:rPr>
              <w:t>Entscheidungen, Statuswechsel, Freigaben und Zugriffe</w:t>
            </w:r>
          </w:p>
        </w:tc>
        <w:tc>
          <w:tcPr>
            <w:tcW w:type="dxa" w:w="3685"/>
            <w:tcMar>
              <w:top w:w="90" w:type="dxa"/>
              <w:start w:w="90" w:type="dxa"/>
              <w:bottom w:w="90" w:type="dxa"/>
              <w:end w:w="90" w:type="dxa"/>
            </w:tcMar>
            <w:vAlign w:val="top"/>
          </w:tcPr>
          <w:p>
            <w:r>
              <w:rPr>
                <w:sz w:val="17"/>
              </w:rPr>
              <w:t>Append-only beziehungsweise unveränderbar</w:t>
            </w:r>
          </w:p>
        </w:tc>
      </w:tr>
    </w:tbl>
    <w:p/>
    <w:p>
      <w:r>
        <w:br w:type="page"/>
      </w:r>
    </w:p>
    <w:p>
      <w:pPr>
        <w:pStyle w:val="Heading1"/>
      </w:pPr>
      <w:r>
        <w:t>11. Zielarchitektur der Plattform</w:t>
      </w:r>
    </w:p>
    <w:p>
      <w:pPr>
        <w:pStyle w:val="Heading2"/>
      </w:pPr>
      <w:r>
        <w:t>11.1 Architekturstrategie</w:t>
      </w:r>
    </w:p>
    <w:tbl>
      <w:tblPr>
        <w:tblW w:type="auto" w:w="0"/>
        <w:jc w:val="center"/>
        <w:tblLook w:firstColumn="1" w:firstRow="1" w:lastColumn="0" w:lastRow="0" w:noHBand="0" w:noVBand="1" w:val="04A0"/>
      </w:tblPr>
      <w:tblGrid>
        <w:gridCol w:w="9859"/>
      </w:tblGrid>
      <w:tr>
        <w:tc>
          <w:tcPr>
            <w:tcW w:type="dxa" w:w="9859"/>
            <w:shd w:fill="EAF2F8"/>
            <w:tcMar>
              <w:top w:w="150" w:type="dxa"/>
              <w:start w:w="170" w:type="dxa"/>
              <w:bottom w:w="150" w:type="dxa"/>
              <w:end w:w="170" w:type="dxa"/>
            </w:tcMar>
          </w:tcPr>
          <w:p>
            <w:r>
              <w:rPr>
                <w:b/>
                <w:color w:val="002A5B"/>
                <w:sz w:val="21"/>
              </w:rPr>
              <w:t>Verbindliche Entscheidung</w:t>
            </w:r>
            <w:r>
              <w:br/>
              <w:t>sealingAI wird als modularer Monolith mit API-first-Verträgen aufgebaut. Fachliche Bounded Contexts werden im Code, Datenzugriff und Testsystem sauber getrennt. Ein Microservice wird erst extrahiert, wenn Skalierung, Sicherheitsgrenzen, Teamautonomie oder Betriebsanforderungen dies nachweisbar rechtfertigen.</w:t>
            </w:r>
          </w:p>
        </w:tc>
      </w:tr>
    </w:tbl>
    <w:p/>
    <w:p>
      <w:pPr>
        <w:pStyle w:val="Heading2"/>
      </w:pPr>
      <w:r>
        <w:t>11.2 Deployables</w:t>
      </w:r>
    </w:p>
    <w:tbl>
      <w:tblPr>
        <w:tblStyle w:val="TableGrid"/>
        <w:tblW w:type="auto" w:w="0"/>
        <w:jc w:val="center"/>
        <w:tblLook w:firstColumn="1" w:firstRow="1" w:lastColumn="0" w:lastRow="0" w:noHBand="0" w:noVBand="1" w:val="04A0"/>
      </w:tblPr>
      <w:tblGrid>
        <w:gridCol w:w="3286"/>
        <w:gridCol w:w="3286"/>
        <w:gridCol w:w="3286"/>
      </w:tblGrid>
      <w:tr>
        <w:tc>
          <w:tcPr>
            <w:tcW w:type="dxa" w:w="1701"/>
            <w:shd w:fill="17324D"/>
            <w:tcMar>
              <w:top w:w="90" w:type="dxa"/>
              <w:start w:w="90" w:type="dxa"/>
              <w:bottom w:w="90" w:type="dxa"/>
              <w:end w:w="90" w:type="dxa"/>
            </w:tcMar>
            <w:vAlign w:val="center"/>
          </w:tcPr>
          <w:p>
            <w:pPr>
              <w:jc w:val="left"/>
            </w:pPr>
            <w:r>
              <w:rPr>
                <w:b/>
                <w:color w:val="FFFFFF"/>
                <w:sz w:val="17"/>
              </w:rPr>
              <w:t>Deployable</w:t>
            </w:r>
          </w:p>
        </w:tc>
        <w:tc>
          <w:tcPr>
            <w:tcW w:type="dxa" w:w="4195"/>
            <w:shd w:fill="17324D"/>
            <w:tcMar>
              <w:top w:w="90" w:type="dxa"/>
              <w:start w:w="90" w:type="dxa"/>
              <w:bottom w:w="90" w:type="dxa"/>
              <w:end w:w="90" w:type="dxa"/>
            </w:tcMar>
            <w:vAlign w:val="center"/>
          </w:tcPr>
          <w:p>
            <w:pPr>
              <w:jc w:val="left"/>
            </w:pPr>
            <w:r>
              <w:rPr>
                <w:b/>
                <w:color w:val="FFFFFF"/>
                <w:sz w:val="17"/>
              </w:rPr>
              <w:t>Aufgabe</w:t>
            </w:r>
          </w:p>
        </w:tc>
        <w:tc>
          <w:tcPr>
            <w:tcW w:type="dxa" w:w="3515"/>
            <w:shd w:fill="17324D"/>
            <w:tcMar>
              <w:top w:w="90" w:type="dxa"/>
              <w:start w:w="90" w:type="dxa"/>
              <w:bottom w:w="90" w:type="dxa"/>
              <w:end w:w="90" w:type="dxa"/>
            </w:tcMar>
            <w:vAlign w:val="center"/>
          </w:tcPr>
          <w:p>
            <w:pPr>
              <w:jc w:val="left"/>
            </w:pPr>
            <w:r>
              <w:rPr>
                <w:b/>
                <w:color w:val="FFFFFF"/>
                <w:sz w:val="17"/>
              </w:rPr>
              <w:t>Grenze</w:t>
            </w:r>
          </w:p>
        </w:tc>
      </w:tr>
      <w:tr>
        <w:trPr>
          <w:trHeight w:hRule="atLeast"/>
        </w:trPr>
        <w:tc>
          <w:tcPr>
            <w:tcW w:type="dxa" w:w="1701"/>
            <w:tcMar>
              <w:top w:w="90" w:type="dxa"/>
              <w:start w:w="90" w:type="dxa"/>
              <w:bottom w:w="90" w:type="dxa"/>
              <w:end w:w="90" w:type="dxa"/>
            </w:tcMar>
            <w:vAlign w:val="top"/>
          </w:tcPr>
          <w:p>
            <w:r>
              <w:rPr>
                <w:b/>
                <w:color w:val="002A5B"/>
                <w:sz w:val="17"/>
              </w:rPr>
              <w:t>Marketing Web</w:t>
            </w:r>
          </w:p>
        </w:tc>
        <w:tc>
          <w:tcPr>
            <w:tcW w:type="dxa" w:w="4195"/>
            <w:tcMar>
              <w:top w:w="90" w:type="dxa"/>
              <w:start w:w="90" w:type="dxa"/>
              <w:bottom w:w="90" w:type="dxa"/>
              <w:end w:w="90" w:type="dxa"/>
            </w:tcMar>
            <w:vAlign w:val="top"/>
          </w:tcPr>
          <w:p>
            <w:r>
              <w:rPr>
                <w:sz w:val="17"/>
              </w:rPr>
              <w:t>Öffentliche Website, Fachseiten, SEO, Einstieg</w:t>
            </w:r>
          </w:p>
        </w:tc>
        <w:tc>
          <w:tcPr>
            <w:tcW w:type="dxa" w:w="3515"/>
            <w:tcMar>
              <w:top w:w="90" w:type="dxa"/>
              <w:start w:w="90" w:type="dxa"/>
              <w:bottom w:w="90" w:type="dxa"/>
              <w:end w:w="90" w:type="dxa"/>
            </w:tcMar>
            <w:vAlign w:val="top"/>
          </w:tcPr>
          <w:p>
            <w:r>
              <w:rPr>
                <w:sz w:val="17"/>
              </w:rPr>
              <w:t>Keine vertrauliche Fallbearbeitung</w:t>
            </w:r>
          </w:p>
        </w:tc>
      </w:tr>
      <w:tr>
        <w:trPr>
          <w:trHeight w:hRule="atLeast"/>
        </w:trPr>
        <w:tc>
          <w:tcPr>
            <w:tcW w:type="dxa" w:w="1701"/>
            <w:tcMar>
              <w:top w:w="90" w:type="dxa"/>
              <w:start w:w="90" w:type="dxa"/>
              <w:bottom w:w="90" w:type="dxa"/>
              <w:end w:w="90" w:type="dxa"/>
            </w:tcMar>
            <w:vAlign w:val="top"/>
          </w:tcPr>
          <w:p>
            <w:r>
              <w:rPr>
                <w:b/>
                <w:color w:val="002A5B"/>
                <w:sz w:val="17"/>
              </w:rPr>
              <w:t>Workspace Web</w:t>
            </w:r>
          </w:p>
        </w:tc>
        <w:tc>
          <w:tcPr>
            <w:tcW w:type="dxa" w:w="4195"/>
            <w:tcMar>
              <w:top w:w="90" w:type="dxa"/>
              <w:start w:w="90" w:type="dxa"/>
              <w:bottom w:w="90" w:type="dxa"/>
              <w:end w:w="90" w:type="dxa"/>
            </w:tcMar>
            <w:vAlign w:val="top"/>
          </w:tcPr>
          <w:p>
            <w:r>
              <w:rPr>
                <w:sz w:val="17"/>
              </w:rPr>
              <w:t>Chat, Cases, Engineering, Schäden, Dokumente und Freigaben</w:t>
            </w:r>
          </w:p>
        </w:tc>
        <w:tc>
          <w:tcPr>
            <w:tcW w:type="dxa" w:w="3515"/>
            <w:tcMar>
              <w:top w:w="90" w:type="dxa"/>
              <w:start w:w="90" w:type="dxa"/>
              <w:bottom w:w="90" w:type="dxa"/>
              <w:end w:w="90" w:type="dxa"/>
            </w:tcMar>
            <w:vAlign w:val="top"/>
          </w:tcPr>
          <w:p>
            <w:r>
              <w:rPr>
                <w:sz w:val="17"/>
              </w:rPr>
              <w:t>Keine fachliche Wahrheit im Client</w:t>
            </w:r>
          </w:p>
        </w:tc>
      </w:tr>
      <w:tr>
        <w:trPr>
          <w:trHeight w:hRule="atLeast"/>
        </w:trPr>
        <w:tc>
          <w:tcPr>
            <w:tcW w:type="dxa" w:w="1701"/>
            <w:tcMar>
              <w:top w:w="90" w:type="dxa"/>
              <w:start w:w="90" w:type="dxa"/>
              <w:bottom w:w="90" w:type="dxa"/>
              <w:end w:w="90" w:type="dxa"/>
            </w:tcMar>
            <w:vAlign w:val="top"/>
          </w:tcPr>
          <w:p>
            <w:r>
              <w:rPr>
                <w:b/>
                <w:color w:val="002A5B"/>
                <w:sz w:val="17"/>
              </w:rPr>
              <w:t>API</w:t>
            </w:r>
          </w:p>
        </w:tc>
        <w:tc>
          <w:tcPr>
            <w:tcW w:type="dxa" w:w="4195"/>
            <w:tcMar>
              <w:top w:w="90" w:type="dxa"/>
              <w:start w:w="90" w:type="dxa"/>
              <w:bottom w:w="90" w:type="dxa"/>
              <w:end w:w="90" w:type="dxa"/>
            </w:tcMar>
            <w:vAlign w:val="top"/>
          </w:tcPr>
          <w:p>
            <w:r>
              <w:rPr>
                <w:sz w:val="17"/>
              </w:rPr>
              <w:t>Versionierte HTTP-/SSE-Grenze und Use-Case-Orchestration</w:t>
            </w:r>
          </w:p>
        </w:tc>
        <w:tc>
          <w:tcPr>
            <w:tcW w:type="dxa" w:w="3515"/>
            <w:tcMar>
              <w:top w:w="90" w:type="dxa"/>
              <w:start w:w="90" w:type="dxa"/>
              <w:bottom w:w="90" w:type="dxa"/>
              <w:end w:w="90" w:type="dxa"/>
            </w:tcMar>
            <w:vAlign w:val="top"/>
          </w:tcPr>
          <w:p>
            <w:r>
              <w:rPr>
                <w:sz w:val="17"/>
              </w:rPr>
              <w:t>Keine untypisierten Domänenabkürzungen</w:t>
            </w:r>
          </w:p>
        </w:tc>
      </w:tr>
      <w:tr>
        <w:trPr>
          <w:trHeight w:hRule="atLeast"/>
        </w:trPr>
        <w:tc>
          <w:tcPr>
            <w:tcW w:type="dxa" w:w="1701"/>
            <w:tcMar>
              <w:top w:w="90" w:type="dxa"/>
              <w:start w:w="90" w:type="dxa"/>
              <w:bottom w:w="90" w:type="dxa"/>
              <w:end w:w="90" w:type="dxa"/>
            </w:tcMar>
            <w:vAlign w:val="top"/>
          </w:tcPr>
          <w:p>
            <w:r>
              <w:rPr>
                <w:b/>
                <w:color w:val="002A5B"/>
                <w:sz w:val="17"/>
              </w:rPr>
              <w:t>Worker</w:t>
            </w:r>
          </w:p>
        </w:tc>
        <w:tc>
          <w:tcPr>
            <w:tcW w:type="dxa" w:w="4195"/>
            <w:tcMar>
              <w:top w:w="90" w:type="dxa"/>
              <w:start w:w="90" w:type="dxa"/>
              <w:bottom w:w="90" w:type="dxa"/>
              <w:end w:w="90" w:type="dxa"/>
            </w:tcMar>
            <w:vAlign w:val="top"/>
          </w:tcPr>
          <w:p>
            <w:r>
              <w:rPr>
                <w:sz w:val="17"/>
              </w:rPr>
              <w:t>Dokumentenverarbeitung, Outbox, Embeddings, Exporte, Retention</w:t>
            </w:r>
          </w:p>
        </w:tc>
        <w:tc>
          <w:tcPr>
            <w:tcW w:type="dxa" w:w="3515"/>
            <w:tcMar>
              <w:top w:w="90" w:type="dxa"/>
              <w:start w:w="90" w:type="dxa"/>
              <w:bottom w:w="90" w:type="dxa"/>
              <w:end w:w="90" w:type="dxa"/>
            </w:tcMar>
            <w:vAlign w:val="top"/>
          </w:tcPr>
          <w:p>
            <w:r>
              <w:rPr>
                <w:sz w:val="17"/>
              </w:rPr>
              <w:t>Keine versteckten request-scoped Dauerjobs</w:t>
            </w:r>
          </w:p>
        </w:tc>
      </w:tr>
    </w:tbl>
    <w:p/>
    <w:p>
      <w:pPr>
        <w:pStyle w:val="Heading2"/>
      </w:pPr>
      <w:r>
        <w:t>11.3 Zielstruktur im Monorepo</w:t>
      </w:r>
    </w:p>
    <w:p>
      <w:pPr>
        <w:spacing w:after="100"/>
      </w:pPr>
      <w:r>
        <w:rPr>
          <w:rFonts w:ascii="Consolas" w:hAnsi="Consolas"/>
          <w:sz w:val="16"/>
        </w:rPr>
        <w:t>apps/ { marketing-web, workspace-web }</w:t>
        <w:br/>
        <w:t>services/ { api, worker }</w:t>
        <w:br/>
        <w:t>domain/ { identity, knowledge, taxonomy, materials, engineering, cases, failure, compliance, manufacturers, lifecycle, learning, documents, ai, retrieval, platform }</w:t>
        <w:br/>
        <w:t>packages/ { contracts, api-client, ui, evals }</w:t>
        <w:br/>
        <w:t>content/ { reviewed, drafts, quarantined }</w:t>
        <w:br/>
        <w:t>infrastructure/ · ops/ · docs/ · archive/</w:t>
      </w:r>
    </w:p>
    <w:p>
      <w:r>
        <w:t>Die physische Verschiebung erfolgt erst nach abgesicherten Importgrenzen, Ports, Contract-Tests und Buildpfaden. Kosmetische Ordneränderungen ohne echte Ownership-Trennung sind kein Architekturfortschritt.</w:t>
      </w:r>
    </w:p>
    <w:p>
      <w:pPr>
        <w:pStyle w:val="Heading2"/>
      </w:pPr>
      <w:r>
        <w:t>11.4 System of Record</w:t>
      </w:r>
    </w:p>
    <w:tbl>
      <w:tblPr>
        <w:tblStyle w:val="TableGrid"/>
        <w:tblW w:type="auto" w:w="0"/>
        <w:jc w:val="center"/>
        <w:tblLook w:firstColumn="1" w:firstRow="1" w:lastColumn="0" w:lastRow="0" w:noHBand="0" w:noVBand="1" w:val="04A0"/>
      </w:tblPr>
      <w:tblGrid>
        <w:gridCol w:w="4929"/>
        <w:gridCol w:w="4929"/>
      </w:tblGrid>
      <w:tr>
        <w:tc>
          <w:tcPr>
            <w:tcW w:type="dxa" w:w="1984"/>
            <w:shd w:fill="17324D"/>
            <w:tcMar>
              <w:top w:w="90" w:type="dxa"/>
              <w:start w:w="90" w:type="dxa"/>
              <w:bottom w:w="90" w:type="dxa"/>
              <w:end w:w="90" w:type="dxa"/>
            </w:tcMar>
            <w:vAlign w:val="center"/>
          </w:tcPr>
          <w:p>
            <w:pPr>
              <w:jc w:val="left"/>
            </w:pPr>
            <w:r>
              <w:rPr>
                <w:b/>
                <w:color w:val="FFFFFF"/>
                <w:sz w:val="17"/>
              </w:rPr>
              <w:t>System</w:t>
            </w:r>
          </w:p>
        </w:tc>
        <w:tc>
          <w:tcPr>
            <w:tcW w:type="dxa" w:w="7427"/>
            <w:shd w:fill="17324D"/>
            <w:tcMar>
              <w:top w:w="90" w:type="dxa"/>
              <w:start w:w="90" w:type="dxa"/>
              <w:bottom w:w="90" w:type="dxa"/>
              <w:end w:w="90" w:type="dxa"/>
            </w:tcMar>
            <w:vAlign w:val="center"/>
          </w:tcPr>
          <w:p>
            <w:pPr>
              <w:jc w:val="left"/>
            </w:pPr>
            <w:r>
              <w:rPr>
                <w:b/>
                <w:color w:val="FFFFFF"/>
                <w:sz w:val="17"/>
              </w:rPr>
              <w:t>Rolle</w:t>
            </w:r>
          </w:p>
        </w:tc>
      </w:tr>
      <w:tr>
        <w:trPr>
          <w:trHeight w:hRule="atLeast"/>
        </w:trPr>
        <w:tc>
          <w:tcPr>
            <w:tcW w:type="dxa" w:w="1984"/>
            <w:tcMar>
              <w:top w:w="90" w:type="dxa"/>
              <w:start w:w="90" w:type="dxa"/>
              <w:bottom w:w="90" w:type="dxa"/>
              <w:end w:w="90" w:type="dxa"/>
            </w:tcMar>
            <w:vAlign w:val="top"/>
          </w:tcPr>
          <w:p>
            <w:r>
              <w:rPr>
                <w:b/>
                <w:color w:val="002A5B"/>
                <w:sz w:val="17"/>
              </w:rPr>
              <w:t>Postgres</w:t>
            </w:r>
          </w:p>
        </w:tc>
        <w:tc>
          <w:tcPr>
            <w:tcW w:type="dxa" w:w="7427"/>
            <w:tcMar>
              <w:top w:w="90" w:type="dxa"/>
              <w:start w:w="90" w:type="dxa"/>
              <w:bottom w:w="90" w:type="dxa"/>
              <w:end w:w="90" w:type="dxa"/>
            </w:tcMar>
            <w:vAlign w:val="top"/>
          </w:tcPr>
          <w:p>
            <w:r>
              <w:rPr>
                <w:sz w:val="17"/>
              </w:rPr>
              <w:t>Kanonische Claims, Quellenmetadaten, Cases, Entscheidungen, Hersteller, Assets, Jobs und Audit.</w:t>
            </w:r>
          </w:p>
        </w:tc>
      </w:tr>
      <w:tr>
        <w:trPr>
          <w:trHeight w:hRule="atLeast"/>
        </w:trPr>
        <w:tc>
          <w:tcPr>
            <w:tcW w:type="dxa" w:w="1984"/>
            <w:tcMar>
              <w:top w:w="90" w:type="dxa"/>
              <w:start w:w="90" w:type="dxa"/>
              <w:bottom w:w="90" w:type="dxa"/>
              <w:end w:w="90" w:type="dxa"/>
            </w:tcMar>
            <w:vAlign w:val="top"/>
          </w:tcPr>
          <w:p>
            <w:r>
              <w:rPr>
                <w:b/>
                <w:color w:val="002A5B"/>
                <w:sz w:val="17"/>
              </w:rPr>
              <w:t>Object Storage</w:t>
            </w:r>
          </w:p>
        </w:tc>
        <w:tc>
          <w:tcPr>
            <w:tcW w:type="dxa" w:w="7427"/>
            <w:tcMar>
              <w:top w:w="90" w:type="dxa"/>
              <w:start w:w="90" w:type="dxa"/>
              <w:bottom w:w="90" w:type="dxa"/>
              <w:end w:w="90" w:type="dxa"/>
            </w:tcMar>
            <w:vAlign w:val="top"/>
          </w:tcPr>
          <w:p>
            <w:r>
              <w:rPr>
                <w:sz w:val="17"/>
              </w:rPr>
              <w:t>Originaldokumente, Zeichnungen, Bilder, Exporte und große Artefakte.</w:t>
            </w:r>
          </w:p>
        </w:tc>
      </w:tr>
      <w:tr>
        <w:trPr>
          <w:trHeight w:hRule="atLeast"/>
        </w:trPr>
        <w:tc>
          <w:tcPr>
            <w:tcW w:type="dxa" w:w="1984"/>
            <w:tcMar>
              <w:top w:w="90" w:type="dxa"/>
              <w:start w:w="90" w:type="dxa"/>
              <w:bottom w:w="90" w:type="dxa"/>
              <w:end w:w="90" w:type="dxa"/>
            </w:tcMar>
            <w:vAlign w:val="top"/>
          </w:tcPr>
          <w:p>
            <w:r>
              <w:rPr>
                <w:b/>
                <w:color w:val="002A5B"/>
                <w:sz w:val="17"/>
              </w:rPr>
              <w:t>Qdrant</w:t>
            </w:r>
          </w:p>
        </w:tc>
        <w:tc>
          <w:tcPr>
            <w:tcW w:type="dxa" w:w="7427"/>
            <w:tcMar>
              <w:top w:w="90" w:type="dxa"/>
              <w:start w:w="90" w:type="dxa"/>
              <w:bottom w:w="90" w:type="dxa"/>
              <w:end w:w="90" w:type="dxa"/>
            </w:tcMar>
            <w:vAlign w:val="top"/>
          </w:tcPr>
          <w:p>
            <w:r>
              <w:rPr>
                <w:sz w:val="17"/>
              </w:rPr>
              <w:t>Abgeleiteter, vollständig wiederaufbaubarer Retrieval-Index.</w:t>
            </w:r>
          </w:p>
        </w:tc>
      </w:tr>
      <w:tr>
        <w:trPr>
          <w:trHeight w:hRule="atLeast"/>
        </w:trPr>
        <w:tc>
          <w:tcPr>
            <w:tcW w:type="dxa" w:w="1984"/>
            <w:tcMar>
              <w:top w:w="90" w:type="dxa"/>
              <w:start w:w="90" w:type="dxa"/>
              <w:bottom w:w="90" w:type="dxa"/>
              <w:end w:w="90" w:type="dxa"/>
            </w:tcMar>
            <w:vAlign w:val="top"/>
          </w:tcPr>
          <w:p>
            <w:r>
              <w:rPr>
                <w:b/>
                <w:color w:val="002A5B"/>
                <w:sz w:val="17"/>
              </w:rPr>
              <w:t>Redis</w:t>
            </w:r>
          </w:p>
        </w:tc>
        <w:tc>
          <w:tcPr>
            <w:tcW w:type="dxa" w:w="7427"/>
            <w:tcMar>
              <w:top w:w="90" w:type="dxa"/>
              <w:start w:w="90" w:type="dxa"/>
              <w:bottom w:w="90" w:type="dxa"/>
              <w:end w:w="90" w:type="dxa"/>
            </w:tcMar>
            <w:vAlign w:val="top"/>
          </w:tcPr>
          <w:p>
            <w:r>
              <w:rPr>
                <w:sz w:val="17"/>
              </w:rPr>
              <w:t>Cache, Locks, Rate Limits und kurzlebiger Arbeitszustand.</w:t>
            </w:r>
          </w:p>
        </w:tc>
      </w:tr>
      <w:tr>
        <w:trPr>
          <w:trHeight w:hRule="atLeast"/>
        </w:trPr>
        <w:tc>
          <w:tcPr>
            <w:tcW w:type="dxa" w:w="1984"/>
            <w:tcMar>
              <w:top w:w="90" w:type="dxa"/>
              <w:start w:w="90" w:type="dxa"/>
              <w:bottom w:w="90" w:type="dxa"/>
              <w:end w:w="90" w:type="dxa"/>
            </w:tcMar>
            <w:vAlign w:val="top"/>
          </w:tcPr>
          <w:p>
            <w:r>
              <w:rPr>
                <w:b/>
                <w:color w:val="002A5B"/>
                <w:sz w:val="17"/>
              </w:rPr>
              <w:t>Identity Provider</w:t>
            </w:r>
          </w:p>
        </w:tc>
        <w:tc>
          <w:tcPr>
            <w:tcW w:type="dxa" w:w="7427"/>
            <w:tcMar>
              <w:top w:w="90" w:type="dxa"/>
              <w:start w:w="90" w:type="dxa"/>
              <w:bottom w:w="90" w:type="dxa"/>
              <w:end w:w="90" w:type="dxa"/>
            </w:tcMar>
            <w:vAlign w:val="top"/>
          </w:tcPr>
          <w:p>
            <w:r>
              <w:rPr>
                <w:sz w:val="17"/>
              </w:rPr>
              <w:t>Authentifizierung; Autorisierung bleibt zusätzlich serverseitig im Produkt.</w:t>
            </w:r>
          </w:p>
        </w:tc>
      </w:tr>
    </w:tbl>
    <w:p/>
    <w:p>
      <w:r>
        <w:br w:type="page"/>
      </w:r>
    </w:p>
    <w:p>
      <w:pPr>
        <w:pStyle w:val="Heading1"/>
      </w:pPr>
      <w:r>
        <w:t>12. KI-, Kernel- und Entscheidungsarchitektur</w:t>
      </w:r>
    </w:p>
    <w:p>
      <w:pPr>
        <w:pStyle w:val="Heading2"/>
      </w:pPr>
      <w:r>
        <w:t>12.1 Vertrauensmodell</w:t>
      </w:r>
    </w:p>
    <w:tbl>
      <w:tblPr>
        <w:tblStyle w:val="TableGrid"/>
        <w:tblW w:type="auto" w:w="0"/>
        <w:jc w:val="center"/>
        <w:tblLook w:firstColumn="1" w:firstRow="1" w:lastColumn="0" w:lastRow="0" w:noHBand="0" w:noVBand="1" w:val="04A0"/>
      </w:tblPr>
      <w:tblGrid>
        <w:gridCol w:w="3286"/>
        <w:gridCol w:w="3286"/>
        <w:gridCol w:w="3286"/>
      </w:tblGrid>
      <w:tr>
        <w:tc>
          <w:tcPr>
            <w:tcW w:type="dxa" w:w="1701"/>
            <w:shd w:fill="17324D"/>
            <w:tcMar>
              <w:top w:w="90" w:type="dxa"/>
              <w:start w:w="90" w:type="dxa"/>
              <w:bottom w:w="90" w:type="dxa"/>
              <w:end w:w="90" w:type="dxa"/>
            </w:tcMar>
            <w:vAlign w:val="center"/>
          </w:tcPr>
          <w:p>
            <w:pPr>
              <w:jc w:val="left"/>
            </w:pPr>
            <w:r>
              <w:rPr>
                <w:b/>
                <w:color w:val="FFFFFF"/>
                <w:sz w:val="17"/>
              </w:rPr>
              <w:t>Schicht</w:t>
            </w:r>
          </w:p>
        </w:tc>
        <w:tc>
          <w:tcPr>
            <w:tcW w:type="dxa" w:w="4139"/>
            <w:shd w:fill="17324D"/>
            <w:tcMar>
              <w:top w:w="90" w:type="dxa"/>
              <w:start w:w="90" w:type="dxa"/>
              <w:bottom w:w="90" w:type="dxa"/>
              <w:end w:w="90" w:type="dxa"/>
            </w:tcMar>
            <w:vAlign w:val="center"/>
          </w:tcPr>
          <w:p>
            <w:pPr>
              <w:jc w:val="left"/>
            </w:pPr>
            <w:r>
              <w:rPr>
                <w:b/>
                <w:color w:val="FFFFFF"/>
                <w:sz w:val="17"/>
              </w:rPr>
              <w:t>Rolle</w:t>
            </w:r>
          </w:p>
        </w:tc>
        <w:tc>
          <w:tcPr>
            <w:tcW w:type="dxa" w:w="3572"/>
            <w:shd w:fill="17324D"/>
            <w:tcMar>
              <w:top w:w="90" w:type="dxa"/>
              <w:start w:w="90" w:type="dxa"/>
              <w:bottom w:w="90" w:type="dxa"/>
              <w:end w:w="90" w:type="dxa"/>
            </w:tcMar>
            <w:vAlign w:val="center"/>
          </w:tcPr>
          <w:p>
            <w:pPr>
              <w:jc w:val="left"/>
            </w:pPr>
            <w:r>
              <w:rPr>
                <w:b/>
                <w:color w:val="FFFFFF"/>
                <w:sz w:val="17"/>
              </w:rPr>
              <w:t>Autorität</w:t>
            </w:r>
          </w:p>
        </w:tc>
      </w:tr>
      <w:tr>
        <w:trPr>
          <w:trHeight w:hRule="atLeast"/>
        </w:trPr>
        <w:tc>
          <w:tcPr>
            <w:tcW w:type="dxa" w:w="1701"/>
            <w:tcMar>
              <w:top w:w="90" w:type="dxa"/>
              <w:start w:w="90" w:type="dxa"/>
              <w:bottom w:w="90" w:type="dxa"/>
              <w:end w:w="90" w:type="dxa"/>
            </w:tcMar>
            <w:vAlign w:val="top"/>
          </w:tcPr>
          <w:p>
            <w:r>
              <w:rPr>
                <w:b/>
                <w:color w:val="002A5B"/>
                <w:sz w:val="17"/>
              </w:rPr>
              <w:t>L1 Generator</w:t>
            </w:r>
          </w:p>
        </w:tc>
        <w:tc>
          <w:tcPr>
            <w:tcW w:type="dxa" w:w="4139"/>
            <w:tcMar>
              <w:top w:w="90" w:type="dxa"/>
              <w:start w:w="90" w:type="dxa"/>
              <w:bottom w:w="90" w:type="dxa"/>
              <w:end w:w="90" w:type="dxa"/>
            </w:tcMar>
            <w:vAlign w:val="top"/>
          </w:tcPr>
          <w:p>
            <w:r>
              <w:rPr>
                <w:sz w:val="17"/>
              </w:rPr>
              <w:t>Erklärt, strukturiert und formuliert</w:t>
            </w:r>
          </w:p>
        </w:tc>
        <w:tc>
          <w:tcPr>
            <w:tcW w:type="dxa" w:w="3572"/>
            <w:tcMar>
              <w:top w:w="90" w:type="dxa"/>
              <w:start w:w="90" w:type="dxa"/>
              <w:bottom w:w="90" w:type="dxa"/>
              <w:end w:w="90" w:type="dxa"/>
            </w:tcMar>
            <w:vAlign w:val="top"/>
          </w:tcPr>
          <w:p>
            <w:r>
              <w:rPr>
                <w:sz w:val="17"/>
              </w:rPr>
              <w:t>Keine autonome Fakt- oder Freigabeautorität</w:t>
            </w:r>
          </w:p>
        </w:tc>
      </w:tr>
      <w:tr>
        <w:trPr>
          <w:trHeight w:hRule="atLeast"/>
        </w:trPr>
        <w:tc>
          <w:tcPr>
            <w:tcW w:type="dxa" w:w="1701"/>
            <w:tcMar>
              <w:top w:w="90" w:type="dxa"/>
              <w:start w:w="90" w:type="dxa"/>
              <w:bottom w:w="90" w:type="dxa"/>
              <w:end w:w="90" w:type="dxa"/>
            </w:tcMar>
            <w:vAlign w:val="top"/>
          </w:tcPr>
          <w:p>
            <w:r>
              <w:rPr>
                <w:b/>
                <w:color w:val="002A5B"/>
                <w:sz w:val="17"/>
              </w:rPr>
              <w:t>L2 Grounding</w:t>
            </w:r>
          </w:p>
        </w:tc>
        <w:tc>
          <w:tcPr>
            <w:tcW w:type="dxa" w:w="4139"/>
            <w:tcMar>
              <w:top w:w="90" w:type="dxa"/>
              <w:start w:w="90" w:type="dxa"/>
              <w:bottom w:w="90" w:type="dxa"/>
              <w:end w:w="90" w:type="dxa"/>
            </w:tcMar>
            <w:vAlign w:val="top"/>
          </w:tcPr>
          <w:p>
            <w:r>
              <w:rPr>
                <w:sz w:val="17"/>
              </w:rPr>
              <w:t>Liefert geprüfte Claims mit Provenienz</w:t>
            </w:r>
          </w:p>
        </w:tc>
        <w:tc>
          <w:tcPr>
            <w:tcW w:type="dxa" w:w="3572"/>
            <w:tcMar>
              <w:top w:w="90" w:type="dxa"/>
              <w:start w:w="90" w:type="dxa"/>
              <w:bottom w:w="90" w:type="dxa"/>
              <w:end w:w="90" w:type="dxa"/>
            </w:tcMar>
            <w:vAlign w:val="top"/>
          </w:tcPr>
          <w:p>
            <w:r>
              <w:rPr>
                <w:sz w:val="17"/>
              </w:rPr>
              <w:t>Autoritativ nur innerhalb Applicability und Reviewstatus</w:t>
            </w:r>
          </w:p>
        </w:tc>
      </w:tr>
      <w:tr>
        <w:trPr>
          <w:trHeight w:hRule="atLeast"/>
        </w:trPr>
        <w:tc>
          <w:tcPr>
            <w:tcW w:type="dxa" w:w="1701"/>
            <w:tcMar>
              <w:top w:w="90" w:type="dxa"/>
              <w:start w:w="90" w:type="dxa"/>
              <w:bottom w:w="90" w:type="dxa"/>
              <w:end w:w="90" w:type="dxa"/>
            </w:tcMar>
            <w:vAlign w:val="top"/>
          </w:tcPr>
          <w:p>
            <w:r>
              <w:rPr>
                <w:b/>
                <w:color w:val="002A5B"/>
                <w:sz w:val="17"/>
              </w:rPr>
              <w:t>L3 Verifier/Guards</w:t>
            </w:r>
          </w:p>
        </w:tc>
        <w:tc>
          <w:tcPr>
            <w:tcW w:type="dxa" w:w="4139"/>
            <w:tcMar>
              <w:top w:w="90" w:type="dxa"/>
              <w:start w:w="90" w:type="dxa"/>
              <w:bottom w:w="90" w:type="dxa"/>
              <w:end w:w="90" w:type="dxa"/>
            </w:tcMar>
            <w:vAlign w:val="top"/>
          </w:tcPr>
          <w:p>
            <w:r>
              <w:rPr>
                <w:sz w:val="17"/>
              </w:rPr>
              <w:t>Prüft Claims, Sprache, Zahlen, Risiken und Konflikte</w:t>
            </w:r>
          </w:p>
        </w:tc>
        <w:tc>
          <w:tcPr>
            <w:tcW w:type="dxa" w:w="3572"/>
            <w:tcMar>
              <w:top w:w="90" w:type="dxa"/>
              <w:start w:w="90" w:type="dxa"/>
              <w:bottom w:w="90" w:type="dxa"/>
              <w:end w:w="90" w:type="dxa"/>
            </w:tcMar>
            <w:vAlign w:val="top"/>
          </w:tcPr>
          <w:p>
            <w:r>
              <w:rPr>
                <w:sz w:val="17"/>
              </w:rPr>
              <w:t>Darf blocken, aber keine neue Wahrheit erfinden</w:t>
            </w:r>
          </w:p>
        </w:tc>
      </w:tr>
      <w:tr>
        <w:trPr>
          <w:trHeight w:hRule="atLeast"/>
        </w:trPr>
        <w:tc>
          <w:tcPr>
            <w:tcW w:type="dxa" w:w="1701"/>
            <w:tcMar>
              <w:top w:w="90" w:type="dxa"/>
              <w:start w:w="90" w:type="dxa"/>
              <w:bottom w:w="90" w:type="dxa"/>
              <w:end w:w="90" w:type="dxa"/>
            </w:tcMar>
            <w:vAlign w:val="top"/>
          </w:tcPr>
          <w:p>
            <w:r>
              <w:rPr>
                <w:b/>
                <w:color w:val="002A5B"/>
                <w:sz w:val="17"/>
              </w:rPr>
              <w:t>L4 Human/Manufacturer</w:t>
            </w:r>
          </w:p>
        </w:tc>
        <w:tc>
          <w:tcPr>
            <w:tcW w:type="dxa" w:w="4139"/>
            <w:tcMar>
              <w:top w:w="90" w:type="dxa"/>
              <w:start w:w="90" w:type="dxa"/>
              <w:bottom w:w="90" w:type="dxa"/>
              <w:end w:w="90" w:type="dxa"/>
            </w:tcMar>
            <w:vAlign w:val="top"/>
          </w:tcPr>
          <w:p>
            <w:r>
              <w:rPr>
                <w:sz w:val="17"/>
              </w:rPr>
              <w:t>Prüft und genehmigt konkrete Anwendung</w:t>
            </w:r>
          </w:p>
        </w:tc>
        <w:tc>
          <w:tcPr>
            <w:tcW w:type="dxa" w:w="3572"/>
            <w:tcMar>
              <w:top w:w="90" w:type="dxa"/>
              <w:start w:w="90" w:type="dxa"/>
              <w:bottom w:w="90" w:type="dxa"/>
              <w:end w:w="90" w:type="dxa"/>
            </w:tcMar>
            <w:vAlign w:val="top"/>
          </w:tcPr>
          <w:p>
            <w:r>
              <w:rPr>
                <w:sz w:val="17"/>
              </w:rPr>
              <w:t>Finale fachliche Verantwortung</w:t>
            </w:r>
          </w:p>
        </w:tc>
      </w:tr>
    </w:tbl>
    <w:p/>
    <w:p>
      <w:pPr>
        <w:pStyle w:val="Heading2"/>
      </w:pPr>
      <w:r>
        <w:t>12.2 Referenzpipeline</w:t>
      </w:r>
    </w:p>
    <w:p>
      <w:pPr>
        <w:pStyle w:val="ListNumber"/>
        <w:spacing w:after="40"/>
      </w:pPr>
      <w:r>
        <w:t>Nutzerabsicht, Risikoklasse und Tenant bestimmen.</w:t>
      </w:r>
    </w:p>
    <w:p>
      <w:pPr>
        <w:pStyle w:val="ListNumber"/>
        <w:spacing w:after="40"/>
      </w:pPr>
      <w:r>
        <w:t>Relevanten Gesprächs- und Case-Kontext typisiert zusammensetzen.</w:t>
      </w:r>
    </w:p>
    <w:p>
      <w:pPr>
        <w:pStyle w:val="ListNumber"/>
        <w:spacing w:after="40"/>
      </w:pPr>
      <w:r>
        <w:t>Reviewed Claims und zulässige Tenant-Quellen mit Applicability abrufen.</w:t>
      </w:r>
    </w:p>
    <w:p>
      <w:pPr>
        <w:pStyle w:val="ListNumber"/>
        <w:spacing w:after="40"/>
      </w:pPr>
      <w:r>
        <w:t>Deterministische Berechnungen ausschließlich im Kernel ausführen.</w:t>
      </w:r>
    </w:p>
    <w:p>
      <w:pPr>
        <w:pStyle w:val="ListNumber"/>
        <w:spacing w:after="40"/>
      </w:pPr>
      <w:r>
        <w:t>Response Contract aus Fakten, Unknowns, Risiken und erlaubten Aussagen erzeugen.</w:t>
      </w:r>
    </w:p>
    <w:p>
      <w:pPr>
        <w:pStyle w:val="ListNumber"/>
        <w:spacing w:after="40"/>
      </w:pPr>
      <w:r>
        <w:t>LLM-Antwort beziehungsweise Artefaktentwurf erstellen.</w:t>
      </w:r>
    </w:p>
    <w:p>
      <w:pPr>
        <w:pStyle w:val="ListNumber"/>
        <w:spacing w:after="40"/>
      </w:pPr>
      <w:r>
        <w:t>Claim-, Zahlen-, Quellen-, Freigabe-, Injection- und Tenant-Guards ausführen.</w:t>
      </w:r>
    </w:p>
    <w:p>
      <w:pPr>
        <w:pStyle w:val="ListNumber"/>
        <w:spacing w:after="40"/>
      </w:pPr>
      <w:r>
        <w:t>Finale autoritative Antwort mit Quellen, Coverage und nächsten Schritten ausgeben.</w:t>
      </w:r>
    </w:p>
    <w:p>
      <w:pPr>
        <w:pStyle w:val="ListNumber"/>
        <w:spacing w:after="40"/>
      </w:pPr>
      <w:r>
        <w:t>Entscheidungsrelevanten Zustand versioniert persistieren; Draft-Streaming bleibt nicht autoritativ.</w:t>
      </w:r>
    </w:p>
    <w:p>
      <w:pPr>
        <w:pStyle w:val="Heading2"/>
      </w:pPr>
      <w:r>
        <w:t>12.3 Streaming</w:t>
      </w:r>
    </w:p>
    <w:p>
      <w:r>
        <w:t>Live-Token-Streaming ist zulässig, wenn der Kanal eindeutig als Vorschau gekennzeichnet ist. Für technische Fälle bleibt ausschließlich das finale, vollständig geprüfte Resultat autoritativ. Smalltalk oder reine Navigation kann direkt gestreamt werden, sofern keine fachlichen Claims entstehen.</w:t>
      </w:r>
    </w:p>
    <w:p>
      <w:pPr>
        <w:pStyle w:val="Heading2"/>
      </w:pPr>
      <w:r>
        <w:t>12.4 Eval-Gate für allgemeinen Wissensmodus – M15</w:t>
      </w:r>
    </w:p>
    <w:tbl>
      <w:tblPr>
        <w:tblStyle w:val="TableGrid"/>
        <w:tblW w:type="auto" w:w="0"/>
        <w:jc w:val="center"/>
        <w:tblLook w:firstColumn="1" w:firstRow="1" w:lastColumn="0" w:lastRow="0" w:noHBand="0" w:noVBand="1" w:val="04A0"/>
      </w:tblPr>
      <w:tblGrid>
        <w:gridCol w:w="4929"/>
        <w:gridCol w:w="4929"/>
      </w:tblGrid>
      <w:tr>
        <w:tc>
          <w:tcPr>
            <w:tcW w:type="dxa" w:w="1701"/>
            <w:shd w:fill="17324D"/>
            <w:tcMar>
              <w:top w:w="90" w:type="dxa"/>
              <w:start w:w="90" w:type="dxa"/>
              <w:bottom w:w="90" w:type="dxa"/>
              <w:end w:w="90" w:type="dxa"/>
            </w:tcMar>
            <w:vAlign w:val="center"/>
          </w:tcPr>
          <w:p>
            <w:pPr>
              <w:jc w:val="left"/>
            </w:pPr>
            <w:r>
              <w:rPr>
                <w:b/>
                <w:color w:val="FFFFFF"/>
                <w:sz w:val="17"/>
              </w:rPr>
              <w:t>Bereich</w:t>
            </w:r>
          </w:p>
        </w:tc>
        <w:tc>
          <w:tcPr>
            <w:tcW w:type="dxa" w:w="7710"/>
            <w:shd w:fill="17324D"/>
            <w:tcMar>
              <w:top w:w="90" w:type="dxa"/>
              <w:start w:w="90" w:type="dxa"/>
              <w:bottom w:w="90" w:type="dxa"/>
              <w:end w:w="90" w:type="dxa"/>
            </w:tcMar>
            <w:vAlign w:val="center"/>
          </w:tcPr>
          <w:p>
            <w:pPr>
              <w:jc w:val="left"/>
            </w:pPr>
            <w:r>
              <w:rPr>
                <w:b/>
                <w:color w:val="FFFFFF"/>
                <w:sz w:val="17"/>
              </w:rPr>
              <w:t>Verbindliche Anforderung</w:t>
            </w:r>
          </w:p>
        </w:tc>
      </w:tr>
      <w:tr>
        <w:trPr>
          <w:trHeight w:hRule="atLeast"/>
        </w:trPr>
        <w:tc>
          <w:tcPr>
            <w:tcW w:type="dxa" w:w="1701"/>
            <w:tcMar>
              <w:top w:w="90" w:type="dxa"/>
              <w:start w:w="90" w:type="dxa"/>
              <w:bottom w:w="90" w:type="dxa"/>
              <w:end w:w="90" w:type="dxa"/>
            </w:tcMar>
            <w:vAlign w:val="top"/>
          </w:tcPr>
          <w:p>
            <w:r>
              <w:rPr>
                <w:b/>
                <w:color w:val="002A5B"/>
                <w:sz w:val="17"/>
              </w:rPr>
              <w:t>Referenzset</w:t>
            </w:r>
          </w:p>
        </w:tc>
        <w:tc>
          <w:tcPr>
            <w:tcW w:type="dxa" w:w="7710"/>
            <w:tcMar>
              <w:top w:w="90" w:type="dxa"/>
              <w:start w:w="90" w:type="dxa"/>
              <w:bottom w:w="90" w:type="dxa"/>
              <w:end w:w="90" w:type="dxa"/>
            </w:tcMar>
            <w:vAlign w:val="top"/>
          </w:tcPr>
          <w:p>
            <w:r>
              <w:rPr>
                <w:sz w:val="17"/>
              </w:rPr>
              <w:t>Grundlagen, Dichtungsarten, Werkstoffe, Vergleiche, Medien, Montage, Schäden, Normen, Grenzfälle, falsche Prämissen, Smalltalk und Injection.</w:t>
            </w:r>
          </w:p>
        </w:tc>
      </w:tr>
      <w:tr>
        <w:trPr>
          <w:trHeight w:hRule="atLeast"/>
        </w:trPr>
        <w:tc>
          <w:tcPr>
            <w:tcW w:type="dxa" w:w="1701"/>
            <w:tcMar>
              <w:top w:w="90" w:type="dxa"/>
              <w:start w:w="90" w:type="dxa"/>
              <w:bottom w:w="90" w:type="dxa"/>
              <w:end w:w="90" w:type="dxa"/>
            </w:tcMar>
            <w:vAlign w:val="top"/>
          </w:tcPr>
          <w:p>
            <w:r>
              <w:rPr>
                <w:b/>
                <w:color w:val="002A5B"/>
                <w:sz w:val="17"/>
              </w:rPr>
              <w:t>Metriken</w:t>
            </w:r>
          </w:p>
        </w:tc>
        <w:tc>
          <w:tcPr>
            <w:tcW w:type="dxa" w:w="7710"/>
            <w:tcMar>
              <w:top w:w="90" w:type="dxa"/>
              <w:start w:w="90" w:type="dxa"/>
              <w:bottom w:w="90" w:type="dxa"/>
              <w:end w:w="90" w:type="dxa"/>
            </w:tcMar>
            <w:vAlign w:val="top"/>
          </w:tcPr>
          <w:p>
            <w:r>
              <w:rPr>
                <w:sz w:val="17"/>
              </w:rPr>
              <w:t>Fachrichtigkeit, Provenienz, Applicability, Overclaim, erfundene Präzision, Freigabesprache, Tiefe, Zitationsabdeckung und Eskalation.</w:t>
            </w:r>
          </w:p>
        </w:tc>
      </w:tr>
      <w:tr>
        <w:trPr>
          <w:trHeight w:hRule="atLeast"/>
        </w:trPr>
        <w:tc>
          <w:tcPr>
            <w:tcW w:type="dxa" w:w="1701"/>
            <w:tcMar>
              <w:top w:w="90" w:type="dxa"/>
              <w:start w:w="90" w:type="dxa"/>
              <w:bottom w:w="90" w:type="dxa"/>
              <w:end w:w="90" w:type="dxa"/>
            </w:tcMar>
            <w:vAlign w:val="top"/>
          </w:tcPr>
          <w:p>
            <w:r>
              <w:rPr>
                <w:b/>
                <w:color w:val="002A5B"/>
                <w:sz w:val="17"/>
              </w:rPr>
              <w:t>Hard Gates</w:t>
            </w:r>
          </w:p>
        </w:tc>
        <w:tc>
          <w:tcPr>
            <w:tcW w:type="dxa" w:w="7710"/>
            <w:tcMar>
              <w:top w:w="90" w:type="dxa"/>
              <w:start w:w="90" w:type="dxa"/>
              <w:bottom w:w="90" w:type="dxa"/>
              <w:end w:w="90" w:type="dxa"/>
            </w:tcMar>
            <w:vAlign w:val="top"/>
          </w:tcPr>
          <w:p>
            <w:r>
              <w:rPr>
                <w:sz w:val="17"/>
              </w:rPr>
              <w:t>Keine erfundenen Normen/Grenzwerte, keine Material- oder Bauteilfreigabe, keine verschleierte Unsicherheit, keine ungeprüfte Herstellerbevorzugung.</w:t>
            </w:r>
          </w:p>
        </w:tc>
      </w:tr>
      <w:tr>
        <w:trPr>
          <w:trHeight w:hRule="atLeast"/>
        </w:trPr>
        <w:tc>
          <w:tcPr>
            <w:tcW w:type="dxa" w:w="1701"/>
            <w:tcMar>
              <w:top w:w="90" w:type="dxa"/>
              <w:start w:w="90" w:type="dxa"/>
              <w:bottom w:w="90" w:type="dxa"/>
              <w:end w:w="90" w:type="dxa"/>
            </w:tcMar>
            <w:vAlign w:val="top"/>
          </w:tcPr>
          <w:p>
            <w:r>
              <w:rPr>
                <w:b/>
                <w:color w:val="002A5B"/>
                <w:sz w:val="17"/>
              </w:rPr>
              <w:t>Aktivierung</w:t>
            </w:r>
          </w:p>
        </w:tc>
        <w:tc>
          <w:tcPr>
            <w:tcW w:type="dxa" w:w="7710"/>
            <w:tcMar>
              <w:top w:w="90" w:type="dxa"/>
              <w:start w:w="90" w:type="dxa"/>
              <w:bottom w:w="90" w:type="dxa"/>
              <w:end w:w="90" w:type="dxa"/>
            </w:tcMar>
            <w:vAlign w:val="top"/>
          </w:tcPr>
          <w:p>
            <w:r>
              <w:rPr>
                <w:sz w:val="17"/>
              </w:rPr>
              <w:t>Feature Flag standardmäßig OFF; nur nach adjudiziertem Replay und Owner-Freigabe.</w:t>
            </w:r>
          </w:p>
        </w:tc>
      </w:tr>
    </w:tbl>
    <w:p/>
    <w:p>
      <w:r>
        <w:br w:type="page"/>
      </w:r>
    </w:p>
    <w:p>
      <w:pPr>
        <w:pStyle w:val="Heading1"/>
      </w:pPr>
      <w:r>
        <w:t>13. Sealing Case und Entscheidungsdokument</w:t>
      </w:r>
    </w:p>
    <w:p>
      <w:pPr>
        <w:pStyle w:val="Heading2"/>
      </w:pPr>
      <w:r>
        <w:t>13.1 Case-Phasen</w:t>
      </w:r>
    </w:p>
    <w:tbl>
      <w:tblPr>
        <w:tblStyle w:val="TableGrid"/>
        <w:tblW w:type="auto" w:w="0"/>
        <w:jc w:val="center"/>
        <w:tblLook w:firstColumn="1" w:firstRow="1" w:lastColumn="0" w:lastRow="0" w:noHBand="0" w:noVBand="1" w:val="04A0"/>
      </w:tblPr>
      <w:tblGrid>
        <w:gridCol w:w="3286"/>
        <w:gridCol w:w="3286"/>
        <w:gridCol w:w="3286"/>
      </w:tblGrid>
      <w:tr>
        <w:tc>
          <w:tcPr>
            <w:tcW w:type="dxa" w:w="1587"/>
            <w:shd w:fill="17324D"/>
            <w:tcMar>
              <w:top w:w="90" w:type="dxa"/>
              <w:start w:w="90" w:type="dxa"/>
              <w:bottom w:w="90" w:type="dxa"/>
              <w:end w:w="90" w:type="dxa"/>
            </w:tcMar>
            <w:vAlign w:val="center"/>
          </w:tcPr>
          <w:p>
            <w:pPr>
              <w:jc w:val="left"/>
            </w:pPr>
            <w:r>
              <w:rPr>
                <w:b/>
                <w:color w:val="FFFFFF"/>
                <w:sz w:val="16"/>
              </w:rPr>
              <w:t>Phase</w:t>
            </w:r>
          </w:p>
        </w:tc>
        <w:tc>
          <w:tcPr>
            <w:tcW w:type="dxa" w:w="4025"/>
            <w:shd w:fill="17324D"/>
            <w:tcMar>
              <w:top w:w="90" w:type="dxa"/>
              <w:start w:w="90" w:type="dxa"/>
              <w:bottom w:w="90" w:type="dxa"/>
              <w:end w:w="90" w:type="dxa"/>
            </w:tcMar>
            <w:vAlign w:val="center"/>
          </w:tcPr>
          <w:p>
            <w:pPr>
              <w:jc w:val="left"/>
            </w:pPr>
            <w:r>
              <w:rPr>
                <w:b/>
                <w:color w:val="FFFFFF"/>
                <w:sz w:val="16"/>
              </w:rPr>
              <w:t>Zustand</w:t>
            </w:r>
          </w:p>
        </w:tc>
        <w:tc>
          <w:tcPr>
            <w:tcW w:type="dxa" w:w="3798"/>
            <w:shd w:fill="17324D"/>
            <w:tcMar>
              <w:top w:w="90" w:type="dxa"/>
              <w:start w:w="90" w:type="dxa"/>
              <w:bottom w:w="90" w:type="dxa"/>
              <w:end w:w="90" w:type="dxa"/>
            </w:tcMar>
            <w:vAlign w:val="center"/>
          </w:tcPr>
          <w:p>
            <w:pPr>
              <w:jc w:val="left"/>
            </w:pPr>
            <w:r>
              <w:rPr>
                <w:b/>
                <w:color w:val="FFFFFF"/>
                <w:sz w:val="16"/>
              </w:rPr>
              <w:t>Möglicher Ausgang</w:t>
            </w:r>
          </w:p>
        </w:tc>
      </w:tr>
      <w:tr>
        <w:trPr>
          <w:trHeight w:hRule="atLeast"/>
        </w:trPr>
        <w:tc>
          <w:tcPr>
            <w:tcW w:type="dxa" w:w="1587"/>
            <w:tcMar>
              <w:top w:w="90" w:type="dxa"/>
              <w:start w:w="90" w:type="dxa"/>
              <w:bottom w:w="90" w:type="dxa"/>
              <w:end w:w="90" w:type="dxa"/>
            </w:tcMar>
            <w:vAlign w:val="top"/>
          </w:tcPr>
          <w:p>
            <w:r>
              <w:rPr>
                <w:sz w:val="16"/>
              </w:rPr>
              <w:t>Intake</w:t>
            </w:r>
          </w:p>
        </w:tc>
        <w:tc>
          <w:tcPr>
            <w:tcW w:type="dxa" w:w="4025"/>
            <w:tcMar>
              <w:top w:w="90" w:type="dxa"/>
              <w:start w:w="90" w:type="dxa"/>
              <w:bottom w:w="90" w:type="dxa"/>
              <w:end w:w="90" w:type="dxa"/>
            </w:tcMar>
            <w:vAlign w:val="top"/>
          </w:tcPr>
          <w:p>
            <w:r>
              <w:rPr>
                <w:sz w:val="16"/>
              </w:rPr>
              <w:t>Frage, Problem oder Dokument</w:t>
            </w:r>
          </w:p>
        </w:tc>
        <w:tc>
          <w:tcPr>
            <w:tcW w:type="dxa" w:w="3798"/>
            <w:tcMar>
              <w:top w:w="90" w:type="dxa"/>
              <w:start w:w="90" w:type="dxa"/>
              <w:bottom w:w="90" w:type="dxa"/>
              <w:end w:w="90" w:type="dxa"/>
            </w:tcMar>
            <w:vAlign w:val="top"/>
          </w:tcPr>
          <w:p>
            <w:r>
              <w:rPr>
                <w:sz w:val="16"/>
              </w:rPr>
              <w:t>Wissen oder Fall</w:t>
            </w:r>
          </w:p>
        </w:tc>
      </w:tr>
      <w:tr>
        <w:trPr>
          <w:trHeight w:hRule="atLeast"/>
        </w:trPr>
        <w:tc>
          <w:tcPr>
            <w:tcW w:type="dxa" w:w="1587"/>
            <w:tcMar>
              <w:top w:w="90" w:type="dxa"/>
              <w:start w:w="90" w:type="dxa"/>
              <w:bottom w:w="90" w:type="dxa"/>
              <w:end w:w="90" w:type="dxa"/>
            </w:tcMar>
            <w:vAlign w:val="top"/>
          </w:tcPr>
          <w:p>
            <w:r>
              <w:rPr>
                <w:sz w:val="16"/>
              </w:rPr>
              <w:t>Context</w:t>
            </w:r>
          </w:p>
        </w:tc>
        <w:tc>
          <w:tcPr>
            <w:tcW w:type="dxa" w:w="4025"/>
            <w:tcMar>
              <w:top w:w="90" w:type="dxa"/>
              <w:start w:w="90" w:type="dxa"/>
              <w:bottom w:w="90" w:type="dxa"/>
              <w:end w:w="90" w:type="dxa"/>
            </w:tcMar>
            <w:vAlign w:val="top"/>
          </w:tcPr>
          <w:p>
            <w:r>
              <w:rPr>
                <w:sz w:val="16"/>
              </w:rPr>
              <w:t>Anwendung, Medium, Betriebsprofil, Geometrie, Historie</w:t>
            </w:r>
          </w:p>
        </w:tc>
        <w:tc>
          <w:tcPr>
            <w:tcW w:type="dxa" w:w="3798"/>
            <w:tcMar>
              <w:top w:w="90" w:type="dxa"/>
              <w:start w:w="90" w:type="dxa"/>
              <w:bottom w:w="90" w:type="dxa"/>
              <w:end w:w="90" w:type="dxa"/>
            </w:tcMar>
            <w:vAlign w:val="top"/>
          </w:tcPr>
          <w:p>
            <w:r>
              <w:rPr>
                <w:sz w:val="16"/>
              </w:rPr>
              <w:t>Known/Unknown/Conflict</w:t>
            </w:r>
          </w:p>
        </w:tc>
      </w:tr>
      <w:tr>
        <w:trPr>
          <w:trHeight w:hRule="atLeast"/>
        </w:trPr>
        <w:tc>
          <w:tcPr>
            <w:tcW w:type="dxa" w:w="1587"/>
            <w:tcMar>
              <w:top w:w="90" w:type="dxa"/>
              <w:start w:w="90" w:type="dxa"/>
              <w:bottom w:w="90" w:type="dxa"/>
              <w:end w:w="90" w:type="dxa"/>
            </w:tcMar>
            <w:vAlign w:val="top"/>
          </w:tcPr>
          <w:p>
            <w:r>
              <w:rPr>
                <w:sz w:val="16"/>
              </w:rPr>
              <w:t>Assessment</w:t>
            </w:r>
          </w:p>
        </w:tc>
        <w:tc>
          <w:tcPr>
            <w:tcW w:type="dxa" w:w="4025"/>
            <w:tcMar>
              <w:top w:w="90" w:type="dxa"/>
              <w:start w:w="90" w:type="dxa"/>
              <w:bottom w:w="90" w:type="dxa"/>
              <w:end w:w="90" w:type="dxa"/>
            </w:tcMar>
            <w:vAlign w:val="top"/>
          </w:tcPr>
          <w:p>
            <w:r>
              <w:rPr>
                <w:sz w:val="16"/>
              </w:rPr>
              <w:t>Claims, Berechnungen, Risiken und Optionen</w:t>
            </w:r>
          </w:p>
        </w:tc>
        <w:tc>
          <w:tcPr>
            <w:tcW w:type="dxa" w:w="3798"/>
            <w:tcMar>
              <w:top w:w="90" w:type="dxa"/>
              <w:start w:w="90" w:type="dxa"/>
              <w:bottom w:w="90" w:type="dxa"/>
              <w:end w:w="90" w:type="dxa"/>
            </w:tcMar>
            <w:vAlign w:val="top"/>
          </w:tcPr>
          <w:p>
            <w:r>
              <w:rPr>
                <w:sz w:val="16"/>
              </w:rPr>
              <w:t>Orientierung</w:t>
            </w:r>
          </w:p>
        </w:tc>
      </w:tr>
      <w:tr>
        <w:trPr>
          <w:trHeight w:hRule="atLeast"/>
        </w:trPr>
        <w:tc>
          <w:tcPr>
            <w:tcW w:type="dxa" w:w="1587"/>
            <w:tcMar>
              <w:top w:w="90" w:type="dxa"/>
              <w:start w:w="90" w:type="dxa"/>
              <w:bottom w:w="90" w:type="dxa"/>
              <w:end w:w="90" w:type="dxa"/>
            </w:tcMar>
            <w:vAlign w:val="top"/>
          </w:tcPr>
          <w:p>
            <w:r>
              <w:rPr>
                <w:sz w:val="16"/>
              </w:rPr>
              <w:t>Decision Preparation</w:t>
            </w:r>
          </w:p>
        </w:tc>
        <w:tc>
          <w:tcPr>
            <w:tcW w:type="dxa" w:w="4025"/>
            <w:tcMar>
              <w:top w:w="90" w:type="dxa"/>
              <w:start w:w="90" w:type="dxa"/>
              <w:bottom w:w="90" w:type="dxa"/>
              <w:end w:w="90" w:type="dxa"/>
            </w:tcMar>
            <w:vAlign w:val="top"/>
          </w:tcPr>
          <w:p>
            <w:r>
              <w:rPr>
                <w:sz w:val="16"/>
              </w:rPr>
              <w:t>Trade-offs, Prüfbedarf und nächste Aktion</w:t>
            </w:r>
          </w:p>
        </w:tc>
        <w:tc>
          <w:tcPr>
            <w:tcW w:type="dxa" w:w="3798"/>
            <w:tcMar>
              <w:top w:w="90" w:type="dxa"/>
              <w:start w:w="90" w:type="dxa"/>
              <w:bottom w:w="90" w:type="dxa"/>
              <w:end w:w="90" w:type="dxa"/>
            </w:tcMar>
            <w:vAlign w:val="top"/>
          </w:tcPr>
          <w:p>
            <w:r>
              <w:rPr>
                <w:sz w:val="16"/>
              </w:rPr>
              <w:t>Hersteller-/Expertenbriefing</w:t>
            </w:r>
          </w:p>
        </w:tc>
      </w:tr>
      <w:tr>
        <w:trPr>
          <w:trHeight w:hRule="atLeast"/>
        </w:trPr>
        <w:tc>
          <w:tcPr>
            <w:tcW w:type="dxa" w:w="1587"/>
            <w:tcMar>
              <w:top w:w="90" w:type="dxa"/>
              <w:start w:w="90" w:type="dxa"/>
              <w:bottom w:w="90" w:type="dxa"/>
              <w:end w:w="90" w:type="dxa"/>
            </w:tcMar>
            <w:vAlign w:val="top"/>
          </w:tcPr>
          <w:p>
            <w:r>
              <w:rPr>
                <w:sz w:val="16"/>
              </w:rPr>
              <w:t>Review</w:t>
            </w:r>
          </w:p>
        </w:tc>
        <w:tc>
          <w:tcPr>
            <w:tcW w:type="dxa" w:w="4025"/>
            <w:tcMar>
              <w:top w:w="90" w:type="dxa"/>
              <w:start w:w="90" w:type="dxa"/>
              <w:bottom w:w="90" w:type="dxa"/>
              <w:end w:w="90" w:type="dxa"/>
            </w:tcMar>
            <w:vAlign w:val="top"/>
          </w:tcPr>
          <w:p>
            <w:r>
              <w:rPr>
                <w:sz w:val="16"/>
              </w:rPr>
              <w:t>Fachliche Rückfragen und Freigabegrenzen</w:t>
            </w:r>
          </w:p>
        </w:tc>
        <w:tc>
          <w:tcPr>
            <w:tcW w:type="dxa" w:w="3798"/>
            <w:tcMar>
              <w:top w:w="90" w:type="dxa"/>
              <w:start w:w="90" w:type="dxa"/>
              <w:bottom w:w="90" w:type="dxa"/>
              <w:end w:w="90" w:type="dxa"/>
            </w:tcMar>
            <w:vAlign w:val="top"/>
          </w:tcPr>
          <w:p>
            <w:r>
              <w:rPr>
                <w:sz w:val="16"/>
              </w:rPr>
              <w:t>Approved/Rejected/Conditional</w:t>
            </w:r>
          </w:p>
        </w:tc>
      </w:tr>
      <w:tr>
        <w:trPr>
          <w:trHeight w:hRule="atLeast"/>
        </w:trPr>
        <w:tc>
          <w:tcPr>
            <w:tcW w:type="dxa" w:w="1587"/>
            <w:tcMar>
              <w:top w:w="90" w:type="dxa"/>
              <w:start w:w="90" w:type="dxa"/>
              <w:bottom w:w="90" w:type="dxa"/>
              <w:end w:w="90" w:type="dxa"/>
            </w:tcMar>
            <w:vAlign w:val="top"/>
          </w:tcPr>
          <w:p>
            <w:r>
              <w:rPr>
                <w:sz w:val="16"/>
              </w:rPr>
              <w:t>Implementation</w:t>
            </w:r>
          </w:p>
        </w:tc>
        <w:tc>
          <w:tcPr>
            <w:tcW w:type="dxa" w:w="4025"/>
            <w:tcMar>
              <w:top w:w="90" w:type="dxa"/>
              <w:start w:w="90" w:type="dxa"/>
              <w:bottom w:w="90" w:type="dxa"/>
              <w:end w:w="90" w:type="dxa"/>
            </w:tcMar>
            <w:vAlign w:val="top"/>
          </w:tcPr>
          <w:p>
            <w:r>
              <w:rPr>
                <w:sz w:val="16"/>
              </w:rPr>
              <w:t>Produkt, Charge, Einbau und Dokumentation</w:t>
            </w:r>
          </w:p>
        </w:tc>
        <w:tc>
          <w:tcPr>
            <w:tcW w:type="dxa" w:w="3798"/>
            <w:tcMar>
              <w:top w:w="90" w:type="dxa"/>
              <w:start w:w="90" w:type="dxa"/>
              <w:bottom w:w="90" w:type="dxa"/>
              <w:end w:w="90" w:type="dxa"/>
            </w:tcMar>
            <w:vAlign w:val="top"/>
          </w:tcPr>
          <w:p>
            <w:r>
              <w:rPr>
                <w:sz w:val="16"/>
              </w:rPr>
              <w:t>Installed</w:t>
            </w:r>
          </w:p>
        </w:tc>
      </w:tr>
      <w:tr>
        <w:trPr>
          <w:trHeight w:hRule="atLeast"/>
        </w:trPr>
        <w:tc>
          <w:tcPr>
            <w:tcW w:type="dxa" w:w="1587"/>
            <w:tcMar>
              <w:top w:w="90" w:type="dxa"/>
              <w:start w:w="90" w:type="dxa"/>
              <w:bottom w:w="90" w:type="dxa"/>
              <w:end w:w="90" w:type="dxa"/>
            </w:tcMar>
            <w:vAlign w:val="top"/>
          </w:tcPr>
          <w:p>
            <w:r>
              <w:rPr>
                <w:sz w:val="16"/>
              </w:rPr>
              <w:t>Outcome</w:t>
            </w:r>
          </w:p>
        </w:tc>
        <w:tc>
          <w:tcPr>
            <w:tcW w:type="dxa" w:w="4025"/>
            <w:tcMar>
              <w:top w:w="90" w:type="dxa"/>
              <w:start w:w="90" w:type="dxa"/>
              <w:bottom w:w="90" w:type="dxa"/>
              <w:end w:w="90" w:type="dxa"/>
            </w:tcMar>
            <w:vAlign w:val="top"/>
          </w:tcPr>
          <w:p>
            <w:r>
              <w:rPr>
                <w:sz w:val="16"/>
              </w:rPr>
              <w:t>Standzeit, Schaden, Austausch oder laufender Betrieb</w:t>
            </w:r>
          </w:p>
        </w:tc>
        <w:tc>
          <w:tcPr>
            <w:tcW w:type="dxa" w:w="3798"/>
            <w:tcMar>
              <w:top w:w="90" w:type="dxa"/>
              <w:start w:w="90" w:type="dxa"/>
              <w:bottom w:w="90" w:type="dxa"/>
              <w:end w:w="90" w:type="dxa"/>
            </w:tcMar>
            <w:vAlign w:val="top"/>
          </w:tcPr>
          <w:p>
            <w:r>
              <w:rPr>
                <w:sz w:val="16"/>
              </w:rPr>
              <w:t>Field Evidence</w:t>
            </w:r>
          </w:p>
        </w:tc>
      </w:tr>
    </w:tbl>
    <w:p/>
    <w:p>
      <w:pPr>
        <w:pStyle w:val="Heading2"/>
      </w:pPr>
      <w:r>
        <w:t>13.2 Manufacturer-Ready Brief</w:t>
      </w:r>
    </w:p>
    <w:p>
      <w:pPr>
        <w:pStyle w:val="ListBullet"/>
        <w:spacing w:after="40"/>
      </w:pPr>
      <w:r>
        <w:t>Anwendung und Asset</w:t>
      </w:r>
    </w:p>
    <w:p>
      <w:pPr>
        <w:pStyle w:val="ListBullet"/>
        <w:spacing w:after="40"/>
      </w:pPr>
      <w:r>
        <w:t>Dichtungstyp und vorhandene Ausführung</w:t>
      </w:r>
    </w:p>
    <w:p>
      <w:pPr>
        <w:pStyle w:val="ListBullet"/>
        <w:spacing w:after="40"/>
      </w:pPr>
      <w:r>
        <w:t>Geometrie und Schnittstellen</w:t>
      </w:r>
    </w:p>
    <w:p>
      <w:pPr>
        <w:pStyle w:val="ListBullet"/>
        <w:spacing w:after="40"/>
      </w:pPr>
      <w:r>
        <w:t>Medium, Konzentration, Additive und Verunreinigungen</w:t>
      </w:r>
    </w:p>
    <w:p>
      <w:pPr>
        <w:pStyle w:val="ListBullet"/>
        <w:spacing w:after="40"/>
      </w:pPr>
      <w:r>
        <w:t>Druck-, Temperatur- und Bewegungsprofile einschließlich Spitzen</w:t>
      </w:r>
    </w:p>
    <w:p>
      <w:pPr>
        <w:pStyle w:val="ListBullet"/>
        <w:spacing w:after="40"/>
      </w:pPr>
      <w:r>
        <w:t>Gegenkörper, Oberflächen, Schmierung und Umgebung</w:t>
      </w:r>
    </w:p>
    <w:p>
      <w:pPr>
        <w:pStyle w:val="ListBullet"/>
        <w:spacing w:after="40"/>
      </w:pPr>
      <w:r>
        <w:t>Schadensbild und Historie</w:t>
      </w:r>
    </w:p>
    <w:p>
      <w:pPr>
        <w:pStyle w:val="ListBullet"/>
        <w:spacing w:after="40"/>
      </w:pPr>
      <w:r>
        <w:t>bekannte, unbekannte und widersprüchliche Daten</w:t>
      </w:r>
    </w:p>
    <w:p>
      <w:pPr>
        <w:pStyle w:val="ListBullet"/>
        <w:spacing w:after="40"/>
      </w:pPr>
      <w:r>
        <w:t>berechnete Werte mit Formel und Eingabeprovenienz</w:t>
      </w:r>
    </w:p>
    <w:p>
      <w:pPr>
        <w:pStyle w:val="ListBullet"/>
        <w:spacing w:after="40"/>
      </w:pPr>
      <w:r>
        <w:t>Werkstoff- und Bauartoptionen mit Zielkonflikten</w:t>
      </w:r>
    </w:p>
    <w:p>
      <w:pPr>
        <w:pStyle w:val="ListBullet"/>
        <w:spacing w:after="40"/>
      </w:pPr>
      <w:r>
        <w:t>Risiken, Ausschlüsse und konkrete Herstellerfragen</w:t>
      </w:r>
    </w:p>
    <w:p>
      <w:pPr>
        <w:pStyle w:val="ListBullet"/>
        <w:spacing w:after="40"/>
      </w:pPr>
      <w:r>
        <w:t>Freigabestatus, Version und Verantwortliche</w:t>
      </w:r>
    </w:p>
    <w:p>
      <w:pPr>
        <w:pStyle w:val="Heading2"/>
      </w:pPr>
      <w:r>
        <w:t>13.3 Minimal-Viable-Outcome – M14</w:t>
      </w:r>
    </w:p>
    <w:tbl>
      <w:tblPr>
        <w:tblStyle w:val="TableGrid"/>
        <w:tblW w:type="auto" w:w="0"/>
        <w:jc w:val="center"/>
        <w:tblLook w:firstColumn="1" w:firstRow="1" w:lastColumn="0" w:lastRow="0" w:noHBand="0" w:noVBand="1" w:val="04A0"/>
      </w:tblPr>
      <w:tblGrid>
        <w:gridCol w:w="3286"/>
        <w:gridCol w:w="3286"/>
        <w:gridCol w:w="3286"/>
      </w:tblGrid>
      <w:tr>
        <w:tc>
          <w:tcPr>
            <w:tcW w:type="dxa" w:w="1417"/>
            <w:shd w:fill="17324D"/>
            <w:tcMar>
              <w:top w:w="90" w:type="dxa"/>
              <w:start w:w="90" w:type="dxa"/>
              <w:bottom w:w="90" w:type="dxa"/>
              <w:end w:w="90" w:type="dxa"/>
            </w:tcMar>
            <w:vAlign w:val="center"/>
          </w:tcPr>
          <w:p>
            <w:pPr>
              <w:jc w:val="left"/>
            </w:pPr>
            <w:r>
              <w:rPr>
                <w:b/>
                <w:color w:val="FFFFFF"/>
                <w:sz w:val="17"/>
              </w:rPr>
              <w:t>Stufe</w:t>
            </w:r>
          </w:p>
        </w:tc>
        <w:tc>
          <w:tcPr>
            <w:tcW w:type="dxa" w:w="4025"/>
            <w:shd w:fill="17324D"/>
            <w:tcMar>
              <w:top w:w="90" w:type="dxa"/>
              <w:start w:w="90" w:type="dxa"/>
              <w:bottom w:w="90" w:type="dxa"/>
              <w:end w:w="90" w:type="dxa"/>
            </w:tcMar>
            <w:vAlign w:val="center"/>
          </w:tcPr>
          <w:p>
            <w:pPr>
              <w:jc w:val="left"/>
            </w:pPr>
            <w:r>
              <w:rPr>
                <w:b/>
                <w:color w:val="FFFFFF"/>
                <w:sz w:val="17"/>
              </w:rPr>
              <w:t>Signal</w:t>
            </w:r>
          </w:p>
        </w:tc>
        <w:tc>
          <w:tcPr>
            <w:tcW w:type="dxa" w:w="3969"/>
            <w:shd w:fill="17324D"/>
            <w:tcMar>
              <w:top w:w="90" w:type="dxa"/>
              <w:start w:w="90" w:type="dxa"/>
              <w:bottom w:w="90" w:type="dxa"/>
              <w:end w:w="90" w:type="dxa"/>
            </w:tcMar>
            <w:vAlign w:val="center"/>
          </w:tcPr>
          <w:p>
            <w:pPr>
              <w:jc w:val="left"/>
            </w:pPr>
            <w:r>
              <w:rPr>
                <w:b/>
                <w:color w:val="FFFFFF"/>
                <w:sz w:val="17"/>
              </w:rPr>
              <w:t>Wert</w:t>
            </w:r>
          </w:p>
        </w:tc>
      </w:tr>
      <w:tr>
        <w:trPr>
          <w:trHeight w:hRule="atLeast"/>
        </w:trPr>
        <w:tc>
          <w:tcPr>
            <w:tcW w:type="dxa" w:w="1417"/>
            <w:tcMar>
              <w:top w:w="90" w:type="dxa"/>
              <w:start w:w="90" w:type="dxa"/>
              <w:bottom w:w="90" w:type="dxa"/>
              <w:end w:w="90" w:type="dxa"/>
            </w:tcMar>
            <w:vAlign w:val="top"/>
          </w:tcPr>
          <w:p>
            <w:r>
              <w:rPr>
                <w:b/>
                <w:color w:val="002A5B"/>
                <w:sz w:val="17"/>
              </w:rPr>
              <w:t>1 Passiv</w:t>
            </w:r>
          </w:p>
        </w:tc>
        <w:tc>
          <w:tcPr>
            <w:tcW w:type="dxa" w:w="4025"/>
            <w:tcMar>
              <w:top w:w="90" w:type="dxa"/>
              <w:start w:w="90" w:type="dxa"/>
              <w:bottom w:w="90" w:type="dxa"/>
              <w:end w:w="90" w:type="dxa"/>
            </w:tcMar>
            <w:vAlign w:val="top"/>
          </w:tcPr>
          <w:p>
            <w:r>
              <w:rPr>
                <w:sz w:val="17"/>
              </w:rPr>
              <w:t>Fall erneut geöffnet, Ersatzteil nachbestellt, Wartung/Austausch erkannt</w:t>
            </w:r>
          </w:p>
        </w:tc>
        <w:tc>
          <w:tcPr>
            <w:tcW w:type="dxa" w:w="3969"/>
            <w:tcMar>
              <w:top w:w="90" w:type="dxa"/>
              <w:start w:w="90" w:type="dxa"/>
              <w:bottom w:w="90" w:type="dxa"/>
              <w:end w:w="90" w:type="dxa"/>
            </w:tcMar>
            <w:vAlign w:val="top"/>
          </w:tcPr>
          <w:p>
            <w:r>
              <w:rPr>
                <w:sz w:val="17"/>
              </w:rPr>
              <w:t>Frühe, unvollständige Indikatoren</w:t>
            </w:r>
          </w:p>
        </w:tc>
      </w:tr>
      <w:tr>
        <w:trPr>
          <w:trHeight w:hRule="atLeast"/>
        </w:trPr>
        <w:tc>
          <w:tcPr>
            <w:tcW w:type="dxa" w:w="1417"/>
            <w:tcMar>
              <w:top w:w="90" w:type="dxa"/>
              <w:start w:w="90" w:type="dxa"/>
              <w:bottom w:w="90" w:type="dxa"/>
              <w:end w:w="90" w:type="dxa"/>
            </w:tcMar>
            <w:vAlign w:val="top"/>
          </w:tcPr>
          <w:p>
            <w:r>
              <w:rPr>
                <w:b/>
                <w:color w:val="002A5B"/>
                <w:sz w:val="17"/>
              </w:rPr>
              <w:t>2 Ein-Klick</w:t>
            </w:r>
          </w:p>
        </w:tc>
        <w:tc>
          <w:tcPr>
            <w:tcW w:type="dxa" w:w="4025"/>
            <w:tcMar>
              <w:top w:w="90" w:type="dxa"/>
              <w:start w:w="90" w:type="dxa"/>
              <w:bottom w:w="90" w:type="dxa"/>
              <w:end w:w="90" w:type="dxa"/>
            </w:tcMar>
            <w:vAlign w:val="top"/>
          </w:tcPr>
          <w:p>
            <w:r>
              <w:rPr>
                <w:sz w:val="17"/>
              </w:rPr>
              <w:t>Läuft noch / ersetzt / undicht / ungeklärt</w:t>
            </w:r>
          </w:p>
        </w:tc>
        <w:tc>
          <w:tcPr>
            <w:tcW w:type="dxa" w:w="3969"/>
            <w:tcMar>
              <w:top w:w="90" w:type="dxa"/>
              <w:start w:w="90" w:type="dxa"/>
              <w:bottom w:w="90" w:type="dxa"/>
              <w:end w:w="90" w:type="dxa"/>
            </w:tcMar>
            <w:vAlign w:val="top"/>
          </w:tcPr>
          <w:p>
            <w:r>
              <w:rPr>
                <w:sz w:val="17"/>
              </w:rPr>
              <w:t>Niedrige Rückmeldehürde</w:t>
            </w:r>
          </w:p>
        </w:tc>
      </w:tr>
      <w:tr>
        <w:trPr>
          <w:trHeight w:hRule="atLeast"/>
        </w:trPr>
        <w:tc>
          <w:tcPr>
            <w:tcW w:type="dxa" w:w="1417"/>
            <w:tcMar>
              <w:top w:w="90" w:type="dxa"/>
              <w:start w:w="90" w:type="dxa"/>
              <w:bottom w:w="90" w:type="dxa"/>
              <w:end w:w="90" w:type="dxa"/>
            </w:tcMar>
            <w:vAlign w:val="top"/>
          </w:tcPr>
          <w:p>
            <w:r>
              <w:rPr>
                <w:b/>
                <w:color w:val="002A5B"/>
                <w:sz w:val="17"/>
              </w:rPr>
              <w:t>3 Strukturiert</w:t>
            </w:r>
          </w:p>
        </w:tc>
        <w:tc>
          <w:tcPr>
            <w:tcW w:type="dxa" w:w="4025"/>
            <w:tcMar>
              <w:top w:w="90" w:type="dxa"/>
              <w:start w:w="90" w:type="dxa"/>
              <w:bottom w:w="90" w:type="dxa"/>
              <w:end w:w="90" w:type="dxa"/>
            </w:tcMar>
            <w:vAlign w:val="top"/>
          </w:tcPr>
          <w:p>
            <w:r>
              <w:rPr>
                <w:sz w:val="17"/>
              </w:rPr>
              <w:t>Laufzeit, Ausfallart, Abweichung, Korrektur</w:t>
            </w:r>
          </w:p>
        </w:tc>
        <w:tc>
          <w:tcPr>
            <w:tcW w:type="dxa" w:w="3969"/>
            <w:tcMar>
              <w:top w:w="90" w:type="dxa"/>
              <w:start w:w="90" w:type="dxa"/>
              <w:bottom w:w="90" w:type="dxa"/>
              <w:end w:w="90" w:type="dxa"/>
            </w:tcMar>
            <w:vAlign w:val="top"/>
          </w:tcPr>
          <w:p>
            <w:r>
              <w:rPr>
                <w:sz w:val="17"/>
              </w:rPr>
              <w:t>Vergleichbare Outcomes</w:t>
            </w:r>
          </w:p>
        </w:tc>
      </w:tr>
      <w:tr>
        <w:trPr>
          <w:trHeight w:hRule="atLeast"/>
        </w:trPr>
        <w:tc>
          <w:tcPr>
            <w:tcW w:type="dxa" w:w="1417"/>
            <w:tcMar>
              <w:top w:w="90" w:type="dxa"/>
              <w:start w:w="90" w:type="dxa"/>
              <w:bottom w:w="90" w:type="dxa"/>
              <w:end w:w="90" w:type="dxa"/>
            </w:tcMar>
            <w:vAlign w:val="top"/>
          </w:tcPr>
          <w:p>
            <w:r>
              <w:rPr>
                <w:b/>
                <w:color w:val="002A5B"/>
                <w:sz w:val="17"/>
              </w:rPr>
              <w:t>4 Integration</w:t>
            </w:r>
          </w:p>
        </w:tc>
        <w:tc>
          <w:tcPr>
            <w:tcW w:type="dxa" w:w="4025"/>
            <w:tcMar>
              <w:top w:w="90" w:type="dxa"/>
              <w:start w:w="90" w:type="dxa"/>
              <w:bottom w:w="90" w:type="dxa"/>
              <w:end w:w="90" w:type="dxa"/>
            </w:tcMar>
            <w:vAlign w:val="top"/>
          </w:tcPr>
          <w:p>
            <w:r>
              <w:rPr>
                <w:sz w:val="17"/>
              </w:rPr>
              <w:t>CMMS, ERP, Sensorik oder Wartungsdaten</w:t>
            </w:r>
          </w:p>
        </w:tc>
        <w:tc>
          <w:tcPr>
            <w:tcW w:type="dxa" w:w="3969"/>
            <w:tcMar>
              <w:top w:w="90" w:type="dxa"/>
              <w:start w:w="90" w:type="dxa"/>
              <w:bottom w:w="90" w:type="dxa"/>
              <w:end w:w="90" w:type="dxa"/>
            </w:tcMar>
            <w:vAlign w:val="top"/>
          </w:tcPr>
          <w:p>
            <w:r>
              <w:rPr>
                <w:sz w:val="17"/>
              </w:rPr>
              <w:t>Skalierbare Rückführung</w:t>
            </w:r>
          </w:p>
        </w:tc>
      </w:tr>
      <w:tr>
        <w:trPr>
          <w:trHeight w:hRule="atLeast"/>
        </w:trPr>
        <w:tc>
          <w:tcPr>
            <w:tcW w:type="dxa" w:w="1417"/>
            <w:tcMar>
              <w:top w:w="90" w:type="dxa"/>
              <w:start w:w="90" w:type="dxa"/>
              <w:bottom w:w="90" w:type="dxa"/>
              <w:end w:w="90" w:type="dxa"/>
            </w:tcMar>
            <w:vAlign w:val="top"/>
          </w:tcPr>
          <w:p>
            <w:r>
              <w:rPr>
                <w:b/>
                <w:color w:val="002A5B"/>
                <w:sz w:val="17"/>
              </w:rPr>
              <w:t>5 Validiert</w:t>
            </w:r>
          </w:p>
        </w:tc>
        <w:tc>
          <w:tcPr>
            <w:tcW w:type="dxa" w:w="4025"/>
            <w:tcMar>
              <w:top w:w="90" w:type="dxa"/>
              <w:start w:w="90" w:type="dxa"/>
              <w:bottom w:w="90" w:type="dxa"/>
              <w:end w:w="90" w:type="dxa"/>
            </w:tcMar>
            <w:vAlign w:val="top"/>
          </w:tcPr>
          <w:p>
            <w:r>
              <w:rPr>
                <w:sz w:val="17"/>
              </w:rPr>
              <w:t>Fachlich geprüfte, anonymisierte und übertragbare Erkenntnis</w:t>
            </w:r>
          </w:p>
        </w:tc>
        <w:tc>
          <w:tcPr>
            <w:tcW w:type="dxa" w:w="3969"/>
            <w:tcMar>
              <w:top w:w="90" w:type="dxa"/>
              <w:start w:w="90" w:type="dxa"/>
              <w:bottom w:w="90" w:type="dxa"/>
              <w:end w:w="90" w:type="dxa"/>
            </w:tcMar>
            <w:vAlign w:val="top"/>
          </w:tcPr>
          <w:p>
            <w:r>
              <w:rPr>
                <w:sz w:val="17"/>
              </w:rPr>
              <w:t>Moat und Qualitätsverbesserung</w:t>
            </w:r>
          </w:p>
        </w:tc>
      </w:tr>
    </w:tbl>
    <w:p/>
    <w:p>
      <w:r>
        <w:br w:type="page"/>
      </w:r>
    </w:p>
    <w:p>
      <w:pPr>
        <w:pStyle w:val="Heading1"/>
      </w:pPr>
      <w:r>
        <w:t>14. Herstellerökosystem, Neutralität und Capability Profile</w:t>
      </w:r>
    </w:p>
    <w:p>
      <w:pPr>
        <w:pStyle w:val="Heading2"/>
      </w:pPr>
      <w:r>
        <w:t>14.1 Capability Profile v0 – H2-Pflicht</w:t>
      </w:r>
    </w:p>
    <w:tbl>
      <w:tblPr>
        <w:tblStyle w:val="TableGrid"/>
        <w:tblW w:type="auto" w:w="0"/>
        <w:jc w:val="center"/>
        <w:tblLook w:firstColumn="1" w:firstRow="1" w:lastColumn="0" w:lastRow="0" w:noHBand="0" w:noVBand="1" w:val="04A0"/>
      </w:tblPr>
      <w:tblGrid>
        <w:gridCol w:w="4929"/>
        <w:gridCol w:w="4929"/>
      </w:tblGrid>
      <w:tr>
        <w:tc>
          <w:tcPr>
            <w:tcW w:type="dxa" w:w="1984"/>
            <w:shd w:fill="17324D"/>
            <w:tcMar>
              <w:top w:w="90" w:type="dxa"/>
              <w:start w:w="90" w:type="dxa"/>
              <w:bottom w:w="90" w:type="dxa"/>
              <w:end w:w="90" w:type="dxa"/>
            </w:tcMar>
            <w:vAlign w:val="center"/>
          </w:tcPr>
          <w:p>
            <w:pPr>
              <w:jc w:val="left"/>
            </w:pPr>
            <w:r>
              <w:rPr>
                <w:b/>
                <w:color w:val="FFFFFF"/>
                <w:sz w:val="17"/>
              </w:rPr>
              <w:t>Dimension</w:t>
            </w:r>
          </w:p>
        </w:tc>
        <w:tc>
          <w:tcPr>
            <w:tcW w:type="dxa" w:w="7427"/>
            <w:shd w:fill="17324D"/>
            <w:tcMar>
              <w:top w:w="90" w:type="dxa"/>
              <w:start w:w="90" w:type="dxa"/>
              <w:bottom w:w="90" w:type="dxa"/>
              <w:end w:w="90" w:type="dxa"/>
            </w:tcMar>
            <w:vAlign w:val="center"/>
          </w:tcPr>
          <w:p>
            <w:pPr>
              <w:jc w:val="left"/>
            </w:pPr>
            <w:r>
              <w:rPr>
                <w:b/>
                <w:color w:val="FFFFFF"/>
                <w:sz w:val="17"/>
              </w:rPr>
              <w:t>Mindestinhalt</w:t>
            </w:r>
          </w:p>
        </w:tc>
      </w:tr>
      <w:tr>
        <w:trPr>
          <w:trHeight w:hRule="atLeast"/>
        </w:trPr>
        <w:tc>
          <w:tcPr>
            <w:tcW w:type="dxa" w:w="1984"/>
            <w:tcMar>
              <w:top w:w="90" w:type="dxa"/>
              <w:start w:w="90" w:type="dxa"/>
              <w:bottom w:w="90" w:type="dxa"/>
              <w:end w:w="90" w:type="dxa"/>
            </w:tcMar>
            <w:vAlign w:val="top"/>
          </w:tcPr>
          <w:p>
            <w:r>
              <w:rPr>
                <w:b/>
                <w:color w:val="002A5B"/>
                <w:sz w:val="17"/>
              </w:rPr>
              <w:t>Identität</w:t>
            </w:r>
          </w:p>
        </w:tc>
        <w:tc>
          <w:tcPr>
            <w:tcW w:type="dxa" w:w="7427"/>
            <w:tcMar>
              <w:top w:w="90" w:type="dxa"/>
              <w:start w:w="90" w:type="dxa"/>
              <w:bottom w:w="90" w:type="dxa"/>
              <w:end w:w="90" w:type="dxa"/>
            </w:tcMar>
            <w:vAlign w:val="top"/>
          </w:tcPr>
          <w:p>
            <w:r>
              <w:rPr>
                <w:sz w:val="17"/>
              </w:rPr>
              <w:t>Unternehmen, Region, Ansprechpartner, Status</w:t>
            </w:r>
          </w:p>
        </w:tc>
      </w:tr>
      <w:tr>
        <w:trPr>
          <w:trHeight w:hRule="atLeast"/>
        </w:trPr>
        <w:tc>
          <w:tcPr>
            <w:tcW w:type="dxa" w:w="1984"/>
            <w:tcMar>
              <w:top w:w="90" w:type="dxa"/>
              <w:start w:w="90" w:type="dxa"/>
              <w:bottom w:w="90" w:type="dxa"/>
              <w:end w:w="90" w:type="dxa"/>
            </w:tcMar>
            <w:vAlign w:val="top"/>
          </w:tcPr>
          <w:p>
            <w:r>
              <w:rPr>
                <w:b/>
                <w:color w:val="002A5B"/>
                <w:sz w:val="17"/>
              </w:rPr>
              <w:t>Dichtungskompetenz</w:t>
            </w:r>
          </w:p>
        </w:tc>
        <w:tc>
          <w:tcPr>
            <w:tcW w:type="dxa" w:w="7427"/>
            <w:tcMar>
              <w:top w:w="90" w:type="dxa"/>
              <w:start w:w="90" w:type="dxa"/>
              <w:bottom w:w="90" w:type="dxa"/>
              <w:end w:w="90" w:type="dxa"/>
            </w:tcMar>
            <w:vAlign w:val="top"/>
          </w:tcPr>
          <w:p>
            <w:r>
              <w:rPr>
                <w:sz w:val="17"/>
              </w:rPr>
              <w:t>Dichtungsarten, Bauformen und Anwendungsgrenzen</w:t>
            </w:r>
          </w:p>
        </w:tc>
      </w:tr>
      <w:tr>
        <w:trPr>
          <w:trHeight w:hRule="atLeast"/>
        </w:trPr>
        <w:tc>
          <w:tcPr>
            <w:tcW w:type="dxa" w:w="1984"/>
            <w:tcMar>
              <w:top w:w="90" w:type="dxa"/>
              <w:start w:w="90" w:type="dxa"/>
              <w:bottom w:w="90" w:type="dxa"/>
              <w:end w:w="90" w:type="dxa"/>
            </w:tcMar>
            <w:vAlign w:val="top"/>
          </w:tcPr>
          <w:p>
            <w:r>
              <w:rPr>
                <w:b/>
                <w:color w:val="002A5B"/>
                <w:sz w:val="17"/>
              </w:rPr>
              <w:t>Werkstoffkompetenz</w:t>
            </w:r>
          </w:p>
        </w:tc>
        <w:tc>
          <w:tcPr>
            <w:tcW w:type="dxa" w:w="7427"/>
            <w:tcMar>
              <w:top w:w="90" w:type="dxa"/>
              <w:start w:w="90" w:type="dxa"/>
              <w:bottom w:w="90" w:type="dxa"/>
              <w:end w:w="90" w:type="dxa"/>
            </w:tcMar>
            <w:vAlign w:val="top"/>
          </w:tcPr>
          <w:p>
            <w:r>
              <w:rPr>
                <w:sz w:val="17"/>
              </w:rPr>
              <w:t>Familien, Compounds, Spezialwerkstoffe</w:t>
            </w:r>
          </w:p>
        </w:tc>
      </w:tr>
      <w:tr>
        <w:trPr>
          <w:trHeight w:hRule="atLeast"/>
        </w:trPr>
        <w:tc>
          <w:tcPr>
            <w:tcW w:type="dxa" w:w="1984"/>
            <w:tcMar>
              <w:top w:w="90" w:type="dxa"/>
              <w:start w:w="90" w:type="dxa"/>
              <w:bottom w:w="90" w:type="dxa"/>
              <w:end w:w="90" w:type="dxa"/>
            </w:tcMar>
            <w:vAlign w:val="top"/>
          </w:tcPr>
          <w:p>
            <w:r>
              <w:rPr>
                <w:b/>
                <w:color w:val="002A5B"/>
                <w:sz w:val="17"/>
              </w:rPr>
              <w:t>Fertigung</w:t>
            </w:r>
          </w:p>
        </w:tc>
        <w:tc>
          <w:tcPr>
            <w:tcW w:type="dxa" w:w="7427"/>
            <w:tcMar>
              <w:top w:w="90" w:type="dxa"/>
              <w:start w:w="90" w:type="dxa"/>
              <w:bottom w:w="90" w:type="dxa"/>
              <w:end w:w="90" w:type="dxa"/>
            </w:tcMar>
            <w:vAlign w:val="top"/>
          </w:tcPr>
          <w:p>
            <w:r>
              <w:rPr>
                <w:sz w:val="17"/>
              </w:rPr>
              <w:t>Verfahren, Größen, Toleranzen und Sonderteile</w:t>
            </w:r>
          </w:p>
        </w:tc>
      </w:tr>
      <w:tr>
        <w:trPr>
          <w:trHeight w:hRule="atLeast"/>
        </w:trPr>
        <w:tc>
          <w:tcPr>
            <w:tcW w:type="dxa" w:w="1984"/>
            <w:tcMar>
              <w:top w:w="90" w:type="dxa"/>
              <w:start w:w="90" w:type="dxa"/>
              <w:bottom w:w="90" w:type="dxa"/>
              <w:end w:w="90" w:type="dxa"/>
            </w:tcMar>
            <w:vAlign w:val="top"/>
          </w:tcPr>
          <w:p>
            <w:r>
              <w:rPr>
                <w:b/>
                <w:color w:val="002A5B"/>
                <w:sz w:val="17"/>
              </w:rPr>
              <w:t>Branchen</w:t>
            </w:r>
          </w:p>
        </w:tc>
        <w:tc>
          <w:tcPr>
            <w:tcW w:type="dxa" w:w="7427"/>
            <w:tcMar>
              <w:top w:w="90" w:type="dxa"/>
              <w:start w:w="90" w:type="dxa"/>
              <w:bottom w:w="90" w:type="dxa"/>
              <w:end w:w="90" w:type="dxa"/>
            </w:tcMar>
            <w:vAlign w:val="top"/>
          </w:tcPr>
          <w:p>
            <w:r>
              <w:rPr>
                <w:sz w:val="17"/>
              </w:rPr>
              <w:t>Nachgewiesene Zielindustrien</w:t>
            </w:r>
          </w:p>
        </w:tc>
      </w:tr>
      <w:tr>
        <w:trPr>
          <w:trHeight w:hRule="atLeast"/>
        </w:trPr>
        <w:tc>
          <w:tcPr>
            <w:tcW w:type="dxa" w:w="1984"/>
            <w:tcMar>
              <w:top w:w="90" w:type="dxa"/>
              <w:start w:w="90" w:type="dxa"/>
              <w:bottom w:w="90" w:type="dxa"/>
              <w:end w:w="90" w:type="dxa"/>
            </w:tcMar>
            <w:vAlign w:val="top"/>
          </w:tcPr>
          <w:p>
            <w:r>
              <w:rPr>
                <w:b/>
                <w:color w:val="002A5B"/>
                <w:sz w:val="17"/>
              </w:rPr>
              <w:t>Nachweise</w:t>
            </w:r>
          </w:p>
        </w:tc>
        <w:tc>
          <w:tcPr>
            <w:tcW w:type="dxa" w:w="7427"/>
            <w:tcMar>
              <w:top w:w="90" w:type="dxa"/>
              <w:start w:w="90" w:type="dxa"/>
              <w:bottom w:w="90" w:type="dxa"/>
              <w:end w:w="90" w:type="dxa"/>
            </w:tcMar>
            <w:vAlign w:val="top"/>
          </w:tcPr>
          <w:p>
            <w:r>
              <w:rPr>
                <w:sz w:val="17"/>
              </w:rPr>
              <w:t>Zertifikate, Prüfstände, Zulassungen, Dokumente</w:t>
            </w:r>
          </w:p>
        </w:tc>
      </w:tr>
      <w:tr>
        <w:trPr>
          <w:trHeight w:hRule="atLeast"/>
        </w:trPr>
        <w:tc>
          <w:tcPr>
            <w:tcW w:type="dxa" w:w="1984"/>
            <w:tcMar>
              <w:top w:w="90" w:type="dxa"/>
              <w:start w:w="90" w:type="dxa"/>
              <w:bottom w:w="90" w:type="dxa"/>
              <w:end w:w="90" w:type="dxa"/>
            </w:tcMar>
            <w:vAlign w:val="top"/>
          </w:tcPr>
          <w:p>
            <w:r>
              <w:rPr>
                <w:b/>
                <w:color w:val="002A5B"/>
                <w:sz w:val="17"/>
              </w:rPr>
              <w:t>Service</w:t>
            </w:r>
          </w:p>
        </w:tc>
        <w:tc>
          <w:tcPr>
            <w:tcW w:type="dxa" w:w="7427"/>
            <w:tcMar>
              <w:top w:w="90" w:type="dxa"/>
              <w:start w:w="90" w:type="dxa"/>
              <w:bottom w:w="90" w:type="dxa"/>
              <w:end w:w="90" w:type="dxa"/>
            </w:tcMar>
            <w:vAlign w:val="top"/>
          </w:tcPr>
          <w:p>
            <w:r>
              <w:rPr>
                <w:sz w:val="17"/>
              </w:rPr>
              <w:t>Entwicklung, Schadensanalyse, Reparatur, Vor-Ort-Unterstützung</w:t>
            </w:r>
          </w:p>
        </w:tc>
      </w:tr>
      <w:tr>
        <w:trPr>
          <w:trHeight w:hRule="atLeast"/>
        </w:trPr>
        <w:tc>
          <w:tcPr>
            <w:tcW w:type="dxa" w:w="1984"/>
            <w:tcMar>
              <w:top w:w="90" w:type="dxa"/>
              <w:start w:w="90" w:type="dxa"/>
              <w:bottom w:w="90" w:type="dxa"/>
              <w:end w:w="90" w:type="dxa"/>
            </w:tcMar>
            <w:vAlign w:val="top"/>
          </w:tcPr>
          <w:p>
            <w:r>
              <w:rPr>
                <w:b/>
                <w:color w:val="002A5B"/>
                <w:sz w:val="17"/>
              </w:rPr>
              <w:t>Ausschlüsse</w:t>
            </w:r>
          </w:p>
        </w:tc>
        <w:tc>
          <w:tcPr>
            <w:tcW w:type="dxa" w:w="7427"/>
            <w:tcMar>
              <w:top w:w="90" w:type="dxa"/>
              <w:start w:w="90" w:type="dxa"/>
              <w:bottom w:w="90" w:type="dxa"/>
              <w:end w:w="90" w:type="dxa"/>
            </w:tcMar>
            <w:vAlign w:val="top"/>
          </w:tcPr>
          <w:p>
            <w:r>
              <w:rPr>
                <w:sz w:val="17"/>
              </w:rPr>
              <w:t>Nicht angebotene oder nicht freigegebene Bereiche</w:t>
            </w:r>
          </w:p>
        </w:tc>
      </w:tr>
      <w:tr>
        <w:trPr>
          <w:trHeight w:hRule="atLeast"/>
        </w:trPr>
        <w:tc>
          <w:tcPr>
            <w:tcW w:type="dxa" w:w="1984"/>
            <w:tcMar>
              <w:top w:w="90" w:type="dxa"/>
              <w:start w:w="90" w:type="dxa"/>
              <w:bottom w:w="90" w:type="dxa"/>
              <w:end w:w="90" w:type="dxa"/>
            </w:tcMar>
            <w:vAlign w:val="top"/>
          </w:tcPr>
          <w:p>
            <w:r>
              <w:rPr>
                <w:b/>
                <w:color w:val="002A5B"/>
                <w:sz w:val="17"/>
              </w:rPr>
              <w:t>Verifikation</w:t>
            </w:r>
          </w:p>
        </w:tc>
        <w:tc>
          <w:tcPr>
            <w:tcW w:type="dxa" w:w="7427"/>
            <w:tcMar>
              <w:top w:w="90" w:type="dxa"/>
              <w:start w:w="90" w:type="dxa"/>
              <w:bottom w:w="90" w:type="dxa"/>
              <w:end w:w="90" w:type="dxa"/>
            </w:tcMar>
            <w:vAlign w:val="top"/>
          </w:tcPr>
          <w:p>
            <w:r>
              <w:rPr>
                <w:sz w:val="17"/>
              </w:rPr>
              <w:t>Quelle, Reviewer, Status und Aktualität</w:t>
            </w:r>
          </w:p>
        </w:tc>
      </w:tr>
    </w:tbl>
    <w:p/>
    <w:p>
      <w:pPr>
        <w:pStyle w:val="Heading2"/>
      </w:pPr>
      <w:r>
        <w:t>14.2 Neutralität by Design</w:t>
      </w:r>
    </w:p>
    <w:p>
      <w:pPr>
        <w:pStyle w:val="ListBullet"/>
        <w:spacing w:after="40"/>
      </w:pPr>
      <w:r>
        <w:t>Technischer Fit basiert nur auf Fallanforderungen und verifizierten Fähigkeiten.</w:t>
      </w:r>
    </w:p>
    <w:p>
      <w:pPr>
        <w:pStyle w:val="ListBullet"/>
        <w:spacing w:after="40"/>
      </w:pPr>
      <w:r>
        <w:t>Bezahlstatus, Sponsoring und Abonnement verändern keinen technischen Fit.</w:t>
      </w:r>
    </w:p>
    <w:p>
      <w:pPr>
        <w:pStyle w:val="ListBullet"/>
        <w:spacing w:after="40"/>
      </w:pPr>
      <w:r>
        <w:t>Jede Zuordnung zeigt erfüllte, offene und nicht erfüllte Anforderungen.</w:t>
      </w:r>
    </w:p>
    <w:p>
      <w:pPr>
        <w:pStyle w:val="ListBullet"/>
        <w:spacing w:after="40"/>
      </w:pPr>
      <w:r>
        <w:t>Hersteller können Nachweise einreichen, aber ihre eigene Verifikation nicht abschließen.</w:t>
      </w:r>
    </w:p>
    <w:p>
      <w:pPr>
        <w:pStyle w:val="ListBullet"/>
        <w:spacing w:after="40"/>
      </w:pPr>
      <w:r>
        <w:t>Kommerzielle Sichtbarkeit wird getrennt und gekennzeichnet.</w:t>
      </w:r>
    </w:p>
    <w:p>
      <w:pPr>
        <w:pStyle w:val="ListBullet"/>
        <w:spacing w:after="40"/>
      </w:pPr>
      <w:r>
        <w:t>Hersteller behalten direkten Fachkontakt und können annehmen, ablehnen oder Rückfragen stellen.</w:t>
      </w:r>
    </w:p>
    <w:p>
      <w:pPr>
        <w:pStyle w:val="ListBullet"/>
        <w:spacing w:after="40"/>
      </w:pPr>
      <w:r>
        <w:t>Keine erzwungene Preisvergleichslogik und keine Offenlegung proprietärer Auslegungsregeln.</w:t>
      </w:r>
    </w:p>
    <w:p>
      <w:pPr>
        <w:pStyle w:val="Heading2"/>
      </w:pPr>
      <w:r>
        <w:t>14.3 Conflict-of-Interest-Policy – M5</w:t>
      </w:r>
    </w:p>
    <w:tbl>
      <w:tblPr>
        <w:tblStyle w:val="TableGrid"/>
        <w:tblW w:type="auto" w:w="0"/>
        <w:jc w:val="center"/>
        <w:tblLook w:firstColumn="1" w:firstRow="1" w:lastColumn="0" w:lastRow="0" w:noHBand="0" w:noVBand="1" w:val="04A0"/>
      </w:tblPr>
      <w:tblGrid>
        <w:gridCol w:w="4929"/>
        <w:gridCol w:w="4929"/>
      </w:tblGrid>
      <w:tr>
        <w:tc>
          <w:tcPr>
            <w:tcW w:type="dxa" w:w="1871"/>
            <w:shd w:fill="17324D"/>
            <w:tcMar>
              <w:top w:w="90" w:type="dxa"/>
              <w:start w:w="90" w:type="dxa"/>
              <w:bottom w:w="90" w:type="dxa"/>
              <w:end w:w="90" w:type="dxa"/>
            </w:tcMar>
            <w:vAlign w:val="center"/>
          </w:tcPr>
          <w:p>
            <w:pPr>
              <w:jc w:val="left"/>
            </w:pPr>
            <w:r>
              <w:rPr>
                <w:b/>
                <w:color w:val="FFFFFF"/>
                <w:sz w:val="17"/>
              </w:rPr>
              <w:t>Regel</w:t>
            </w:r>
          </w:p>
        </w:tc>
        <w:tc>
          <w:tcPr>
            <w:tcW w:type="dxa" w:w="7540"/>
            <w:shd w:fill="17324D"/>
            <w:tcMar>
              <w:top w:w="90" w:type="dxa"/>
              <w:start w:w="90" w:type="dxa"/>
              <w:bottom w:w="90" w:type="dxa"/>
              <w:end w:w="90" w:type="dxa"/>
            </w:tcMar>
            <w:vAlign w:val="center"/>
          </w:tcPr>
          <w:p>
            <w:pPr>
              <w:jc w:val="left"/>
            </w:pPr>
            <w:r>
              <w:rPr>
                <w:b/>
                <w:color w:val="FFFFFF"/>
                <w:sz w:val="17"/>
              </w:rPr>
              <w:t>Verbindliche Umsetzung</w:t>
            </w:r>
          </w:p>
        </w:tc>
      </w:tr>
      <w:tr>
        <w:trPr>
          <w:trHeight w:hRule="atLeast"/>
        </w:trPr>
        <w:tc>
          <w:tcPr>
            <w:tcW w:type="dxa" w:w="1871"/>
            <w:tcMar>
              <w:top w:w="90" w:type="dxa"/>
              <w:start w:w="90" w:type="dxa"/>
              <w:bottom w:w="90" w:type="dxa"/>
              <w:end w:w="90" w:type="dxa"/>
            </w:tcMar>
            <w:vAlign w:val="top"/>
          </w:tcPr>
          <w:p>
            <w:r>
              <w:rPr>
                <w:b/>
                <w:color w:val="002A5B"/>
                <w:sz w:val="17"/>
              </w:rPr>
              <w:t>Offenlegung</w:t>
            </w:r>
          </w:p>
        </w:tc>
        <w:tc>
          <w:tcPr>
            <w:tcW w:type="dxa" w:w="7540"/>
            <w:tcMar>
              <w:top w:w="90" w:type="dxa"/>
              <w:start w:w="90" w:type="dxa"/>
              <w:bottom w:w="90" w:type="dxa"/>
              <w:end w:w="90" w:type="dxa"/>
            </w:tcMar>
            <w:vAlign w:val="top"/>
          </w:tcPr>
          <w:p>
            <w:r>
              <w:rPr>
                <w:sz w:val="17"/>
              </w:rPr>
              <w:t>Berufliche, wirtschaftliche und gesellschaftliche Herstellerbeziehungen werden dokumentiert.</w:t>
            </w:r>
          </w:p>
        </w:tc>
      </w:tr>
      <w:tr>
        <w:trPr>
          <w:trHeight w:hRule="atLeast"/>
        </w:trPr>
        <w:tc>
          <w:tcPr>
            <w:tcW w:type="dxa" w:w="1871"/>
            <w:tcMar>
              <w:top w:w="90" w:type="dxa"/>
              <w:start w:w="90" w:type="dxa"/>
              <w:bottom w:w="90" w:type="dxa"/>
              <w:end w:w="90" w:type="dxa"/>
            </w:tcMar>
            <w:vAlign w:val="top"/>
          </w:tcPr>
          <w:p>
            <w:r>
              <w:rPr>
                <w:b/>
                <w:color w:val="002A5B"/>
                <w:sz w:val="17"/>
              </w:rPr>
              <w:t>Recusal</w:t>
            </w:r>
          </w:p>
        </w:tc>
        <w:tc>
          <w:tcPr>
            <w:tcW w:type="dxa" w:w="7540"/>
            <w:tcMar>
              <w:top w:w="90" w:type="dxa"/>
              <w:start w:w="90" w:type="dxa"/>
              <w:bottom w:w="90" w:type="dxa"/>
              <w:end w:w="90" w:type="dxa"/>
            </w:tcMar>
            <w:vAlign w:val="top"/>
          </w:tcPr>
          <w:p>
            <w:r>
              <w:rPr>
                <w:sz w:val="17"/>
              </w:rPr>
              <w:t>Betroffene Personen prüfen oder verifizieren verbundene Hersteller nicht selbst.</w:t>
            </w:r>
          </w:p>
        </w:tc>
      </w:tr>
      <w:tr>
        <w:trPr>
          <w:trHeight w:hRule="atLeast"/>
        </w:trPr>
        <w:tc>
          <w:tcPr>
            <w:tcW w:type="dxa" w:w="1871"/>
            <w:tcMar>
              <w:top w:w="90" w:type="dxa"/>
              <w:start w:w="90" w:type="dxa"/>
              <w:bottom w:w="90" w:type="dxa"/>
              <w:end w:w="90" w:type="dxa"/>
            </w:tcMar>
            <w:vAlign w:val="top"/>
          </w:tcPr>
          <w:p>
            <w:r>
              <w:rPr>
                <w:b/>
                <w:color w:val="002A5B"/>
                <w:sz w:val="17"/>
              </w:rPr>
              <w:t>Datenzugriff</w:t>
            </w:r>
          </w:p>
        </w:tc>
        <w:tc>
          <w:tcPr>
            <w:tcW w:type="dxa" w:w="7540"/>
            <w:tcMar>
              <w:top w:w="90" w:type="dxa"/>
              <w:start w:w="90" w:type="dxa"/>
              <w:bottom w:w="90" w:type="dxa"/>
              <w:end w:w="90" w:type="dxa"/>
            </w:tcMar>
            <w:vAlign w:val="top"/>
          </w:tcPr>
          <w:p>
            <w:r>
              <w:rPr>
                <w:sz w:val="17"/>
              </w:rPr>
              <w:t>Falldaten sind tenant- und rollenbezogen; keine Sonderrechte für verbundene Unternehmen.</w:t>
            </w:r>
          </w:p>
        </w:tc>
      </w:tr>
      <w:tr>
        <w:trPr>
          <w:trHeight w:hRule="atLeast"/>
        </w:trPr>
        <w:tc>
          <w:tcPr>
            <w:tcW w:type="dxa" w:w="1871"/>
            <w:tcMar>
              <w:top w:w="90" w:type="dxa"/>
              <w:start w:w="90" w:type="dxa"/>
              <w:bottom w:w="90" w:type="dxa"/>
              <w:end w:w="90" w:type="dxa"/>
            </w:tcMar>
            <w:vAlign w:val="top"/>
          </w:tcPr>
          <w:p>
            <w:r>
              <w:rPr>
                <w:b/>
                <w:color w:val="002A5B"/>
                <w:sz w:val="17"/>
              </w:rPr>
              <w:t>Fit</w:t>
            </w:r>
          </w:p>
        </w:tc>
        <w:tc>
          <w:tcPr>
            <w:tcW w:type="dxa" w:w="7540"/>
            <w:tcMar>
              <w:top w:w="90" w:type="dxa"/>
              <w:start w:w="90" w:type="dxa"/>
              <w:bottom w:w="90" w:type="dxa"/>
              <w:end w:w="90" w:type="dxa"/>
            </w:tcMar>
            <w:vAlign w:val="top"/>
          </w:tcPr>
          <w:p>
            <w:r>
              <w:rPr>
                <w:sz w:val="17"/>
              </w:rPr>
              <w:t>Verbundene Hersteller werden nach identischen Regeln bewertet und sichtbar gekennzeichnet, soweit rechtlich zulässig.</w:t>
            </w:r>
          </w:p>
        </w:tc>
      </w:tr>
      <w:tr>
        <w:trPr>
          <w:trHeight w:hRule="atLeast"/>
        </w:trPr>
        <w:tc>
          <w:tcPr>
            <w:tcW w:type="dxa" w:w="1871"/>
            <w:tcMar>
              <w:top w:w="90" w:type="dxa"/>
              <w:start w:w="90" w:type="dxa"/>
              <w:bottom w:w="90" w:type="dxa"/>
              <w:end w:w="90" w:type="dxa"/>
            </w:tcMar>
            <w:vAlign w:val="top"/>
          </w:tcPr>
          <w:p>
            <w:r>
              <w:rPr>
                <w:b/>
                <w:color w:val="002A5B"/>
                <w:sz w:val="17"/>
              </w:rPr>
              <w:t>Audit</w:t>
            </w:r>
          </w:p>
        </w:tc>
        <w:tc>
          <w:tcPr>
            <w:tcW w:type="dxa" w:w="7540"/>
            <w:tcMar>
              <w:top w:w="90" w:type="dxa"/>
              <w:start w:w="90" w:type="dxa"/>
              <w:bottom w:w="90" w:type="dxa"/>
              <w:end w:w="90" w:type="dxa"/>
            </w:tcMar>
            <w:vAlign w:val="top"/>
          </w:tcPr>
          <w:p>
            <w:r>
              <w:rPr>
                <w:sz w:val="17"/>
              </w:rPr>
              <w:t>Ranking, Verifikation und Ausnahmen sind unveränderlich protokolliert.</w:t>
            </w:r>
          </w:p>
        </w:tc>
      </w:tr>
      <w:tr>
        <w:trPr>
          <w:trHeight w:hRule="atLeast"/>
        </w:trPr>
        <w:tc>
          <w:tcPr>
            <w:tcW w:type="dxa" w:w="1871"/>
            <w:tcMar>
              <w:top w:w="90" w:type="dxa"/>
              <w:start w:w="90" w:type="dxa"/>
              <w:bottom w:w="90" w:type="dxa"/>
              <w:end w:w="90" w:type="dxa"/>
            </w:tcMar>
            <w:vAlign w:val="top"/>
          </w:tcPr>
          <w:p>
            <w:r>
              <w:rPr>
                <w:b/>
                <w:color w:val="002A5B"/>
                <w:sz w:val="17"/>
              </w:rPr>
              <w:t>Einspruch</w:t>
            </w:r>
          </w:p>
        </w:tc>
        <w:tc>
          <w:tcPr>
            <w:tcW w:type="dxa" w:w="7540"/>
            <w:tcMar>
              <w:top w:w="90" w:type="dxa"/>
              <w:start w:w="90" w:type="dxa"/>
              <w:bottom w:w="90" w:type="dxa"/>
              <w:end w:w="90" w:type="dxa"/>
            </w:tcMar>
            <w:vAlign w:val="top"/>
          </w:tcPr>
          <w:p>
            <w:r>
              <w:rPr>
                <w:sz w:val="17"/>
              </w:rPr>
              <w:t>Hersteller können Capability-Daten und Zuordnungen korrigieren lassen.</w:t>
            </w:r>
          </w:p>
        </w:tc>
      </w:tr>
      <w:tr>
        <w:trPr>
          <w:trHeight w:hRule="atLeast"/>
        </w:trPr>
        <w:tc>
          <w:tcPr>
            <w:tcW w:type="dxa" w:w="1871"/>
            <w:tcMar>
              <w:top w:w="90" w:type="dxa"/>
              <w:start w:w="90" w:type="dxa"/>
              <w:bottom w:w="90" w:type="dxa"/>
              <w:end w:w="90" w:type="dxa"/>
            </w:tcMar>
            <w:vAlign w:val="top"/>
          </w:tcPr>
          <w:p>
            <w:r>
              <w:rPr>
                <w:b/>
                <w:color w:val="002A5B"/>
                <w:sz w:val="17"/>
              </w:rPr>
              <w:t>Unabhängigkeit</w:t>
            </w:r>
          </w:p>
        </w:tc>
        <w:tc>
          <w:tcPr>
            <w:tcW w:type="dxa" w:w="7540"/>
            <w:tcMar>
              <w:top w:w="90" w:type="dxa"/>
              <w:start w:w="90" w:type="dxa"/>
              <w:bottom w:w="90" w:type="dxa"/>
              <w:end w:w="90" w:type="dxa"/>
            </w:tcMar>
            <w:vAlign w:val="top"/>
          </w:tcPr>
          <w:p>
            <w:r>
              <w:rPr>
                <w:sz w:val="17"/>
              </w:rPr>
              <w:t>Kritische Verifikation wird durch externe oder voneinander unabhängige Reviewer abgesichert.</w:t>
            </w:r>
          </w:p>
        </w:tc>
      </w:tr>
    </w:tbl>
    <w:p/>
    <w:p>
      <w:r>
        <w:br w:type="page"/>
      </w:r>
    </w:p>
    <w:p>
      <w:pPr>
        <w:pStyle w:val="Heading1"/>
      </w:pPr>
      <w:r>
        <w:t>15. Recht, Haftung, Datenschutz und Lizenzen</w:t>
      </w:r>
    </w:p>
    <w:p>
      <w:r>
        <w:t>Diese SSoT trifft keine abschließende rechtliche Bewertung. Vor öffentlicher Aktivierung sicherheitskritischer Modi, Hersteller-Matching, organisationsübergreifender Datenverarbeitung und regulatorischer Aussagen ist eine spezialisierte Rechtsprüfung erforderlich.</w:t>
      </w:r>
    </w:p>
    <w:p>
      <w:pPr>
        <w:pStyle w:val="Heading2"/>
      </w:pPr>
      <w:r>
        <w:t>15.1 Legal-Mindestpaket – M4</w:t>
      </w:r>
    </w:p>
    <w:p>
      <w:pPr>
        <w:pStyle w:val="ListBullet"/>
        <w:spacing w:after="40"/>
      </w:pPr>
      <w:r>
        <w:t>AI-Act-Rollen-, Scope- und Risikoklassifizierung</w:t>
      </w:r>
    </w:p>
    <w:p>
      <w:pPr>
        <w:pStyle w:val="ListBullet"/>
        <w:spacing w:after="40"/>
      </w:pPr>
      <w:r>
        <w:t>Haftungsmatrix je Produktmodus und Nutzerrolle</w:t>
      </w:r>
    </w:p>
    <w:p>
      <w:pPr>
        <w:pStyle w:val="ListBullet"/>
        <w:spacing w:after="40"/>
      </w:pPr>
      <w:r>
        <w:t>Vertrags-, AGB- und Disclaimer-Kaskade</w:t>
      </w:r>
    </w:p>
    <w:p>
      <w:pPr>
        <w:pStyle w:val="ListBullet"/>
        <w:spacing w:after="40"/>
      </w:pPr>
      <w:r>
        <w:t>Datenschutz, Auftragsverarbeitung, Löschung und Betroffenenrechte</w:t>
      </w:r>
    </w:p>
    <w:p>
      <w:pPr>
        <w:pStyle w:val="ListBullet"/>
        <w:spacing w:after="40"/>
      </w:pPr>
      <w:r>
        <w:t>Geschäftsgeheimnisse, vertrauliche Zeichnungen und Herstellerwissen</w:t>
      </w:r>
    </w:p>
    <w:p>
      <w:pPr>
        <w:pStyle w:val="ListBullet"/>
        <w:spacing w:after="40"/>
      </w:pPr>
      <w:r>
        <w:t>Normen-, Datenblatt-, Grafik-, CAD- und Content-Lizenzen</w:t>
      </w:r>
    </w:p>
    <w:p>
      <w:pPr>
        <w:pStyle w:val="ListBullet"/>
        <w:spacing w:after="40"/>
      </w:pPr>
      <w:r>
        <w:t>Incident-, Beschwerde-, Korrektur- und Rückrufprozess</w:t>
      </w:r>
    </w:p>
    <w:p>
      <w:pPr>
        <w:pStyle w:val="ListBullet"/>
        <w:spacing w:after="40"/>
      </w:pPr>
      <w:r>
        <w:t>Versicherungsprüfung: Cyber, Vermögensschaden, Betrieb und Produkt</w:t>
      </w:r>
    </w:p>
    <w:p>
      <w:pPr>
        <w:pStyle w:val="ListBullet"/>
        <w:spacing w:after="40"/>
      </w:pPr>
      <w:r>
        <w:t>internationale Verfügbarkeit und regionale Rechtsunterschiede</w:t>
      </w:r>
    </w:p>
    <w:p>
      <w:pPr>
        <w:pStyle w:val="Heading2"/>
      </w:pPr>
      <w:r>
        <w:t>15.2 Haftungsarchitektur</w:t>
      </w:r>
    </w:p>
    <w:tbl>
      <w:tblPr>
        <w:tblStyle w:val="TableGrid"/>
        <w:tblW w:type="auto" w:w="0"/>
        <w:jc w:val="center"/>
        <w:tblLook w:firstColumn="1" w:firstRow="1" w:lastColumn="0" w:lastRow="0" w:noHBand="0" w:noVBand="1" w:val="04A0"/>
      </w:tblPr>
      <w:tblGrid>
        <w:gridCol w:w="3286"/>
        <w:gridCol w:w="3286"/>
        <w:gridCol w:w="3286"/>
      </w:tblGrid>
      <w:tr>
        <w:tc>
          <w:tcPr>
            <w:tcW w:type="dxa" w:w="1701"/>
            <w:shd w:fill="17324D"/>
            <w:tcMar>
              <w:top w:w="90" w:type="dxa"/>
              <w:start w:w="90" w:type="dxa"/>
              <w:bottom w:w="90" w:type="dxa"/>
              <w:end w:w="90" w:type="dxa"/>
            </w:tcMar>
            <w:vAlign w:val="center"/>
          </w:tcPr>
          <w:p>
            <w:pPr>
              <w:jc w:val="left"/>
            </w:pPr>
            <w:r>
              <w:rPr>
                <w:b/>
                <w:color w:val="FFFFFF"/>
                <w:sz w:val="16"/>
              </w:rPr>
              <w:t>Produktmodus</w:t>
            </w:r>
          </w:p>
        </w:tc>
        <w:tc>
          <w:tcPr>
            <w:tcW w:type="dxa" w:w="3855"/>
            <w:shd w:fill="17324D"/>
            <w:tcMar>
              <w:top w:w="90" w:type="dxa"/>
              <w:start w:w="90" w:type="dxa"/>
              <w:bottom w:w="90" w:type="dxa"/>
              <w:end w:w="90" w:type="dxa"/>
            </w:tcMar>
            <w:vAlign w:val="center"/>
          </w:tcPr>
          <w:p>
            <w:pPr>
              <w:jc w:val="left"/>
            </w:pPr>
            <w:r>
              <w:rPr>
                <w:b/>
                <w:color w:val="FFFFFF"/>
                <w:sz w:val="16"/>
              </w:rPr>
              <w:t>Rolle von sealingAI</w:t>
            </w:r>
          </w:p>
        </w:tc>
        <w:tc>
          <w:tcPr>
            <w:tcW w:type="dxa" w:w="3855"/>
            <w:shd w:fill="17324D"/>
            <w:tcMar>
              <w:top w:w="90" w:type="dxa"/>
              <w:start w:w="90" w:type="dxa"/>
              <w:bottom w:w="90" w:type="dxa"/>
              <w:end w:w="90" w:type="dxa"/>
            </w:tcMar>
            <w:vAlign w:val="center"/>
          </w:tcPr>
          <w:p>
            <w:pPr>
              <w:jc w:val="left"/>
            </w:pPr>
            <w:r>
              <w:rPr>
                <w:b/>
                <w:color w:val="FFFFFF"/>
                <w:sz w:val="16"/>
              </w:rPr>
              <w:t>Verbindliche Grenze</w:t>
            </w:r>
          </w:p>
        </w:tc>
      </w:tr>
      <w:tr>
        <w:trPr>
          <w:trHeight w:hRule="atLeast"/>
        </w:trPr>
        <w:tc>
          <w:tcPr>
            <w:tcW w:type="dxa" w:w="1701"/>
            <w:tcMar>
              <w:top w:w="90" w:type="dxa"/>
              <w:start w:w="90" w:type="dxa"/>
              <w:bottom w:w="90" w:type="dxa"/>
              <w:end w:w="90" w:type="dxa"/>
            </w:tcMar>
            <w:vAlign w:val="top"/>
          </w:tcPr>
          <w:p>
            <w:r>
              <w:rPr>
                <w:sz w:val="16"/>
              </w:rPr>
              <w:t>Wissen</w:t>
            </w:r>
          </w:p>
        </w:tc>
        <w:tc>
          <w:tcPr>
            <w:tcW w:type="dxa" w:w="3855"/>
            <w:tcMar>
              <w:top w:w="90" w:type="dxa"/>
              <w:start w:w="90" w:type="dxa"/>
              <w:bottom w:w="90" w:type="dxa"/>
              <w:end w:w="90" w:type="dxa"/>
            </w:tcMar>
            <w:vAlign w:val="top"/>
          </w:tcPr>
          <w:p>
            <w:r>
              <w:rPr>
                <w:sz w:val="16"/>
              </w:rPr>
              <w:t>Informations- und Lernunterstützung</w:t>
            </w:r>
          </w:p>
        </w:tc>
        <w:tc>
          <w:tcPr>
            <w:tcW w:type="dxa" w:w="3855"/>
            <w:tcMar>
              <w:top w:w="90" w:type="dxa"/>
              <w:start w:w="90" w:type="dxa"/>
              <w:bottom w:w="90" w:type="dxa"/>
              <w:end w:w="90" w:type="dxa"/>
            </w:tcMar>
            <w:vAlign w:val="top"/>
          </w:tcPr>
          <w:p>
            <w:r>
              <w:rPr>
                <w:sz w:val="16"/>
              </w:rPr>
              <w:t>Keine Anwendungsfreigabe</w:t>
            </w:r>
          </w:p>
        </w:tc>
      </w:tr>
      <w:tr>
        <w:trPr>
          <w:trHeight w:hRule="atLeast"/>
        </w:trPr>
        <w:tc>
          <w:tcPr>
            <w:tcW w:type="dxa" w:w="1701"/>
            <w:tcMar>
              <w:top w:w="90" w:type="dxa"/>
              <w:start w:w="90" w:type="dxa"/>
              <w:bottom w:w="90" w:type="dxa"/>
              <w:end w:w="90" w:type="dxa"/>
            </w:tcMar>
            <w:vAlign w:val="top"/>
          </w:tcPr>
          <w:p>
            <w:r>
              <w:rPr>
                <w:sz w:val="16"/>
              </w:rPr>
              <w:t>Vergleich</w:t>
            </w:r>
          </w:p>
        </w:tc>
        <w:tc>
          <w:tcPr>
            <w:tcW w:type="dxa" w:w="3855"/>
            <w:tcMar>
              <w:top w:w="90" w:type="dxa"/>
              <w:start w:w="90" w:type="dxa"/>
              <w:bottom w:w="90" w:type="dxa"/>
              <w:end w:w="90" w:type="dxa"/>
            </w:tcMar>
            <w:vAlign w:val="top"/>
          </w:tcPr>
          <w:p>
            <w:r>
              <w:rPr>
                <w:sz w:val="16"/>
              </w:rPr>
              <w:t>Kriterienbasierte Orientierung</w:t>
            </w:r>
          </w:p>
        </w:tc>
        <w:tc>
          <w:tcPr>
            <w:tcW w:type="dxa" w:w="3855"/>
            <w:tcMar>
              <w:top w:w="90" w:type="dxa"/>
              <w:start w:w="90" w:type="dxa"/>
              <w:bottom w:w="90" w:type="dxa"/>
              <w:end w:w="90" w:type="dxa"/>
            </w:tcMar>
            <w:vAlign w:val="top"/>
          </w:tcPr>
          <w:p>
            <w:r>
              <w:rPr>
                <w:sz w:val="16"/>
              </w:rPr>
              <w:t>Kein Ersatz für Compound-/Produktprüfung</w:t>
            </w:r>
          </w:p>
        </w:tc>
      </w:tr>
      <w:tr>
        <w:trPr>
          <w:trHeight w:hRule="atLeast"/>
        </w:trPr>
        <w:tc>
          <w:tcPr>
            <w:tcW w:type="dxa" w:w="1701"/>
            <w:tcMar>
              <w:top w:w="90" w:type="dxa"/>
              <w:start w:w="90" w:type="dxa"/>
              <w:bottom w:w="90" w:type="dxa"/>
              <w:end w:w="90" w:type="dxa"/>
            </w:tcMar>
            <w:vAlign w:val="top"/>
          </w:tcPr>
          <w:p>
            <w:r>
              <w:rPr>
                <w:sz w:val="16"/>
              </w:rPr>
              <w:t>Engineering</w:t>
            </w:r>
          </w:p>
        </w:tc>
        <w:tc>
          <w:tcPr>
            <w:tcW w:type="dxa" w:w="3855"/>
            <w:tcMar>
              <w:top w:w="90" w:type="dxa"/>
              <w:start w:w="90" w:type="dxa"/>
              <w:bottom w:w="90" w:type="dxa"/>
              <w:end w:w="90" w:type="dxa"/>
            </w:tcMar>
            <w:vAlign w:val="top"/>
          </w:tcPr>
          <w:p>
            <w:r>
              <w:rPr>
                <w:sz w:val="16"/>
              </w:rPr>
              <w:t>Deterministische Berechnung aus Nutzereingaben</w:t>
            </w:r>
          </w:p>
        </w:tc>
        <w:tc>
          <w:tcPr>
            <w:tcW w:type="dxa" w:w="3855"/>
            <w:tcMar>
              <w:top w:w="90" w:type="dxa"/>
              <w:start w:w="90" w:type="dxa"/>
              <w:bottom w:w="90" w:type="dxa"/>
              <w:end w:w="90" w:type="dxa"/>
            </w:tcMar>
            <w:vAlign w:val="top"/>
          </w:tcPr>
          <w:p>
            <w:r>
              <w:rPr>
                <w:sz w:val="16"/>
              </w:rPr>
              <w:t>Eingaben, Formeln und Geltungsbereich sichtbar</w:t>
            </w:r>
          </w:p>
        </w:tc>
      </w:tr>
      <w:tr>
        <w:trPr>
          <w:trHeight w:hRule="atLeast"/>
        </w:trPr>
        <w:tc>
          <w:tcPr>
            <w:tcW w:type="dxa" w:w="1701"/>
            <w:tcMar>
              <w:top w:w="90" w:type="dxa"/>
              <w:start w:w="90" w:type="dxa"/>
              <w:bottom w:w="90" w:type="dxa"/>
              <w:end w:w="90" w:type="dxa"/>
            </w:tcMar>
            <w:vAlign w:val="top"/>
          </w:tcPr>
          <w:p>
            <w:r>
              <w:rPr>
                <w:sz w:val="16"/>
              </w:rPr>
              <w:t>Fall</w:t>
            </w:r>
          </w:p>
        </w:tc>
        <w:tc>
          <w:tcPr>
            <w:tcW w:type="dxa" w:w="3855"/>
            <w:tcMar>
              <w:top w:w="90" w:type="dxa"/>
              <w:start w:w="90" w:type="dxa"/>
              <w:bottom w:w="90" w:type="dxa"/>
              <w:end w:w="90" w:type="dxa"/>
            </w:tcMar>
            <w:vAlign w:val="top"/>
          </w:tcPr>
          <w:p>
            <w:r>
              <w:rPr>
                <w:sz w:val="16"/>
              </w:rPr>
              <w:t>Strukturierung und Vorbewertung</w:t>
            </w:r>
          </w:p>
        </w:tc>
        <w:tc>
          <w:tcPr>
            <w:tcW w:type="dxa" w:w="3855"/>
            <w:tcMar>
              <w:top w:w="90" w:type="dxa"/>
              <w:start w:w="90" w:type="dxa"/>
              <w:bottom w:w="90" w:type="dxa"/>
              <w:end w:w="90" w:type="dxa"/>
            </w:tcMar>
            <w:vAlign w:val="top"/>
          </w:tcPr>
          <w:p>
            <w:r>
              <w:rPr>
                <w:sz w:val="16"/>
              </w:rPr>
              <w:t>Keine finale technische Verantwortung</w:t>
            </w:r>
          </w:p>
        </w:tc>
      </w:tr>
      <w:tr>
        <w:trPr>
          <w:trHeight w:hRule="atLeast"/>
        </w:trPr>
        <w:tc>
          <w:tcPr>
            <w:tcW w:type="dxa" w:w="1701"/>
            <w:tcMar>
              <w:top w:w="90" w:type="dxa"/>
              <w:start w:w="90" w:type="dxa"/>
              <w:bottom w:w="90" w:type="dxa"/>
              <w:end w:w="90" w:type="dxa"/>
            </w:tcMar>
            <w:vAlign w:val="top"/>
          </w:tcPr>
          <w:p>
            <w:r>
              <w:rPr>
                <w:sz w:val="16"/>
              </w:rPr>
              <w:t>Hersteller-Fit</w:t>
            </w:r>
          </w:p>
        </w:tc>
        <w:tc>
          <w:tcPr>
            <w:tcW w:type="dxa" w:w="3855"/>
            <w:tcMar>
              <w:top w:w="90" w:type="dxa"/>
              <w:start w:w="90" w:type="dxa"/>
              <w:bottom w:w="90" w:type="dxa"/>
              <w:end w:w="90" w:type="dxa"/>
            </w:tcMar>
            <w:vAlign w:val="top"/>
          </w:tcPr>
          <w:p>
            <w:r>
              <w:rPr>
                <w:sz w:val="16"/>
              </w:rPr>
              <w:t>Kompetenzbasierte Vermittlung</w:t>
            </w:r>
          </w:p>
        </w:tc>
        <w:tc>
          <w:tcPr>
            <w:tcW w:type="dxa" w:w="3855"/>
            <w:tcMar>
              <w:top w:w="90" w:type="dxa"/>
              <w:start w:w="90" w:type="dxa"/>
              <w:bottom w:w="90" w:type="dxa"/>
              <w:end w:w="90" w:type="dxa"/>
            </w:tcMar>
            <w:vAlign w:val="top"/>
          </w:tcPr>
          <w:p>
            <w:r>
              <w:rPr>
                <w:sz w:val="16"/>
              </w:rPr>
              <w:t>Keine Garantie für Eignung oder Verfügbarkeit</w:t>
            </w:r>
          </w:p>
        </w:tc>
      </w:tr>
      <w:tr>
        <w:trPr>
          <w:trHeight w:hRule="atLeast"/>
        </w:trPr>
        <w:tc>
          <w:tcPr>
            <w:tcW w:type="dxa" w:w="1701"/>
            <w:tcMar>
              <w:top w:w="90" w:type="dxa"/>
              <w:start w:w="90" w:type="dxa"/>
              <w:bottom w:w="90" w:type="dxa"/>
              <w:end w:w="90" w:type="dxa"/>
            </w:tcMar>
            <w:vAlign w:val="top"/>
          </w:tcPr>
          <w:p>
            <w:r>
              <w:rPr>
                <w:sz w:val="16"/>
              </w:rPr>
              <w:t>Compliance</w:t>
            </w:r>
          </w:p>
        </w:tc>
        <w:tc>
          <w:tcPr>
            <w:tcW w:type="dxa" w:w="3855"/>
            <w:tcMar>
              <w:top w:w="90" w:type="dxa"/>
              <w:start w:w="90" w:type="dxa"/>
              <w:bottom w:w="90" w:type="dxa"/>
              <w:end w:w="90" w:type="dxa"/>
            </w:tcMar>
            <w:vAlign w:val="top"/>
          </w:tcPr>
          <w:p>
            <w:r>
              <w:rPr>
                <w:sz w:val="16"/>
              </w:rPr>
              <w:t>Orientierung und Nachweisnavigation</w:t>
            </w:r>
          </w:p>
        </w:tc>
        <w:tc>
          <w:tcPr>
            <w:tcW w:type="dxa" w:w="3855"/>
            <w:tcMar>
              <w:top w:w="90" w:type="dxa"/>
              <w:start w:w="90" w:type="dxa"/>
              <w:bottom w:w="90" w:type="dxa"/>
              <w:end w:w="90" w:type="dxa"/>
            </w:tcMar>
            <w:vAlign w:val="top"/>
          </w:tcPr>
          <w:p>
            <w:r>
              <w:rPr>
                <w:sz w:val="16"/>
              </w:rPr>
              <w:t>Keine Rechtsberatung oder Zertifizierung</w:t>
            </w:r>
          </w:p>
        </w:tc>
      </w:tr>
      <w:tr>
        <w:trPr>
          <w:trHeight w:hRule="atLeast"/>
        </w:trPr>
        <w:tc>
          <w:tcPr>
            <w:tcW w:type="dxa" w:w="1701"/>
            <w:tcMar>
              <w:top w:w="90" w:type="dxa"/>
              <w:start w:w="90" w:type="dxa"/>
              <w:bottom w:w="90" w:type="dxa"/>
              <w:end w:w="90" w:type="dxa"/>
            </w:tcMar>
            <w:vAlign w:val="top"/>
          </w:tcPr>
          <w:p>
            <w:r>
              <w:rPr>
                <w:sz w:val="16"/>
              </w:rPr>
              <w:t>Outcome</w:t>
            </w:r>
          </w:p>
        </w:tc>
        <w:tc>
          <w:tcPr>
            <w:tcW w:type="dxa" w:w="3855"/>
            <w:tcMar>
              <w:top w:w="90" w:type="dxa"/>
              <w:start w:w="90" w:type="dxa"/>
              <w:bottom w:w="90" w:type="dxa"/>
              <w:end w:w="90" w:type="dxa"/>
            </w:tcMar>
            <w:vAlign w:val="top"/>
          </w:tcPr>
          <w:p>
            <w:r>
              <w:rPr>
                <w:sz w:val="16"/>
              </w:rPr>
              <w:t>Dokumentation und Lernen</w:t>
            </w:r>
          </w:p>
        </w:tc>
        <w:tc>
          <w:tcPr>
            <w:tcW w:type="dxa" w:w="3855"/>
            <w:tcMar>
              <w:top w:w="90" w:type="dxa"/>
              <w:start w:w="90" w:type="dxa"/>
              <w:bottom w:w="90" w:type="dxa"/>
              <w:end w:w="90" w:type="dxa"/>
            </w:tcMar>
            <w:vAlign w:val="top"/>
          </w:tcPr>
          <w:p>
            <w:r>
              <w:rPr>
                <w:sz w:val="16"/>
              </w:rPr>
              <w:t>Keine automatische Übertragung auf andere Fälle</w:t>
            </w:r>
          </w:p>
        </w:tc>
      </w:tr>
    </w:tbl>
    <w:p/>
    <w:p>
      <w:r>
        <w:br w:type="page"/>
      </w:r>
    </w:p>
    <w:p>
      <w:pPr>
        <w:pStyle w:val="Heading1"/>
      </w:pPr>
      <w:r>
        <w:t>16. Website-, Informations- und Experience-Architektur</w:t>
      </w:r>
    </w:p>
    <w:p>
      <w:pPr>
        <w:pStyle w:val="Heading2"/>
      </w:pPr>
      <w:r>
        <w:t>16.1 Öffentliche Hauptnavigation</w:t>
      </w:r>
    </w:p>
    <w:tbl>
      <w:tblPr>
        <w:tblStyle w:val="TableGrid"/>
        <w:tblW w:type="auto" w:w="0"/>
        <w:jc w:val="center"/>
        <w:tblLook w:firstColumn="1" w:firstRow="1" w:lastColumn="0" w:lastRow="0" w:noHBand="0" w:noVBand="1" w:val="04A0"/>
      </w:tblPr>
      <w:tblGrid>
        <w:gridCol w:w="4929"/>
        <w:gridCol w:w="4929"/>
      </w:tblGrid>
      <w:tr>
        <w:tc>
          <w:tcPr>
            <w:tcW w:type="dxa" w:w="2268"/>
            <w:shd w:fill="17324D"/>
            <w:tcMar>
              <w:top w:w="90" w:type="dxa"/>
              <w:start w:w="90" w:type="dxa"/>
              <w:bottom w:w="90" w:type="dxa"/>
              <w:end w:w="90" w:type="dxa"/>
            </w:tcMar>
            <w:vAlign w:val="center"/>
          </w:tcPr>
          <w:p>
            <w:pPr>
              <w:jc w:val="left"/>
            </w:pPr>
            <w:r>
              <w:rPr>
                <w:b/>
                <w:color w:val="FFFFFF"/>
                <w:sz w:val="17"/>
              </w:rPr>
              <w:t>Bereich</w:t>
            </w:r>
          </w:p>
        </w:tc>
        <w:tc>
          <w:tcPr>
            <w:tcW w:type="dxa" w:w="7143"/>
            <w:shd w:fill="17324D"/>
            <w:tcMar>
              <w:top w:w="90" w:type="dxa"/>
              <w:start w:w="90" w:type="dxa"/>
              <w:bottom w:w="90" w:type="dxa"/>
              <w:end w:w="90" w:type="dxa"/>
            </w:tcMar>
            <w:vAlign w:val="center"/>
          </w:tcPr>
          <w:p>
            <w:pPr>
              <w:jc w:val="left"/>
            </w:pPr>
            <w:r>
              <w:rPr>
                <w:b/>
                <w:color w:val="FFFFFF"/>
                <w:sz w:val="17"/>
              </w:rPr>
              <w:t>Inhalt</w:t>
            </w:r>
          </w:p>
        </w:tc>
      </w:tr>
      <w:tr>
        <w:trPr>
          <w:trHeight w:hRule="atLeast"/>
        </w:trPr>
        <w:tc>
          <w:tcPr>
            <w:tcW w:type="dxa" w:w="2268"/>
            <w:tcMar>
              <w:top w:w="90" w:type="dxa"/>
              <w:start w:w="90" w:type="dxa"/>
              <w:bottom w:w="90" w:type="dxa"/>
              <w:end w:w="90" w:type="dxa"/>
            </w:tcMar>
            <w:vAlign w:val="top"/>
          </w:tcPr>
          <w:p>
            <w:r>
              <w:rPr>
                <w:b/>
                <w:color w:val="002A5B"/>
                <w:sz w:val="17"/>
              </w:rPr>
              <w:t>Wissen</w:t>
            </w:r>
          </w:p>
        </w:tc>
        <w:tc>
          <w:tcPr>
            <w:tcW w:type="dxa" w:w="7143"/>
            <w:tcMar>
              <w:top w:w="90" w:type="dxa"/>
              <w:start w:w="90" w:type="dxa"/>
              <w:bottom w:w="90" w:type="dxa"/>
              <w:end w:w="90" w:type="dxa"/>
            </w:tcMar>
            <w:vAlign w:val="top"/>
          </w:tcPr>
          <w:p>
            <w:r>
              <w:rPr>
                <w:sz w:val="17"/>
              </w:rPr>
              <w:t>SealingPedia, Werkstoffe, Medien, Dichtungsarten und Academy</w:t>
            </w:r>
          </w:p>
        </w:tc>
      </w:tr>
      <w:tr>
        <w:trPr>
          <w:trHeight w:hRule="atLeast"/>
        </w:trPr>
        <w:tc>
          <w:tcPr>
            <w:tcW w:type="dxa" w:w="2268"/>
            <w:tcMar>
              <w:top w:w="90" w:type="dxa"/>
              <w:start w:w="90" w:type="dxa"/>
              <w:bottom w:w="90" w:type="dxa"/>
              <w:end w:w="90" w:type="dxa"/>
            </w:tcMar>
            <w:vAlign w:val="top"/>
          </w:tcPr>
          <w:p>
            <w:r>
              <w:rPr>
                <w:b/>
                <w:color w:val="002A5B"/>
                <w:sz w:val="17"/>
              </w:rPr>
              <w:t>Vergleichen &amp; Auslegen</w:t>
            </w:r>
          </w:p>
        </w:tc>
        <w:tc>
          <w:tcPr>
            <w:tcW w:type="dxa" w:w="7143"/>
            <w:tcMar>
              <w:top w:w="90" w:type="dxa"/>
              <w:start w:w="90" w:type="dxa"/>
              <w:bottom w:w="90" w:type="dxa"/>
              <w:end w:w="90" w:type="dxa"/>
            </w:tcMar>
            <w:vAlign w:val="top"/>
          </w:tcPr>
          <w:p>
            <w:r>
              <w:rPr>
                <w:sz w:val="17"/>
              </w:rPr>
              <w:t>Vergleiche, Rechner, Selektoren und Engineering</w:t>
            </w:r>
          </w:p>
        </w:tc>
      </w:tr>
      <w:tr>
        <w:trPr>
          <w:trHeight w:hRule="atLeast"/>
        </w:trPr>
        <w:tc>
          <w:tcPr>
            <w:tcW w:type="dxa" w:w="2268"/>
            <w:tcMar>
              <w:top w:w="90" w:type="dxa"/>
              <w:start w:w="90" w:type="dxa"/>
              <w:bottom w:w="90" w:type="dxa"/>
              <w:end w:w="90" w:type="dxa"/>
            </w:tcMar>
            <w:vAlign w:val="top"/>
          </w:tcPr>
          <w:p>
            <w:r>
              <w:rPr>
                <w:b/>
                <w:color w:val="002A5B"/>
                <w:sz w:val="17"/>
              </w:rPr>
              <w:t>Fälle lösen</w:t>
            </w:r>
          </w:p>
        </w:tc>
        <w:tc>
          <w:tcPr>
            <w:tcW w:type="dxa" w:w="7143"/>
            <w:tcMar>
              <w:top w:w="90" w:type="dxa"/>
              <w:start w:w="90" w:type="dxa"/>
              <w:bottom w:w="90" w:type="dxa"/>
              <w:end w:w="90" w:type="dxa"/>
            </w:tcMar>
            <w:vAlign w:val="top"/>
          </w:tcPr>
          <w:p>
            <w:r>
              <w:rPr>
                <w:sz w:val="17"/>
              </w:rPr>
              <w:t>Anwendung, Schaden, Substitution und Herstellerbriefing</w:t>
            </w:r>
          </w:p>
        </w:tc>
      </w:tr>
      <w:tr>
        <w:trPr>
          <w:trHeight w:hRule="atLeast"/>
        </w:trPr>
        <w:tc>
          <w:tcPr>
            <w:tcW w:type="dxa" w:w="2268"/>
            <w:tcMar>
              <w:top w:w="90" w:type="dxa"/>
              <w:start w:w="90" w:type="dxa"/>
              <w:bottom w:w="90" w:type="dxa"/>
              <w:end w:w="90" w:type="dxa"/>
            </w:tcMar>
            <w:vAlign w:val="top"/>
          </w:tcPr>
          <w:p>
            <w:r>
              <w:rPr>
                <w:b/>
                <w:color w:val="002A5B"/>
                <w:sz w:val="17"/>
              </w:rPr>
              <w:t>Hersteller &amp; Produkte</w:t>
            </w:r>
          </w:p>
        </w:tc>
        <w:tc>
          <w:tcPr>
            <w:tcW w:type="dxa" w:w="7143"/>
            <w:tcMar>
              <w:top w:w="90" w:type="dxa"/>
              <w:start w:w="90" w:type="dxa"/>
              <w:bottom w:w="90" w:type="dxa"/>
              <w:end w:w="90" w:type="dxa"/>
            </w:tcMar>
            <w:vAlign w:val="top"/>
          </w:tcPr>
          <w:p>
            <w:r>
              <w:rPr>
                <w:sz w:val="17"/>
              </w:rPr>
              <w:t>Kompetenzen, Produkte, Nachweise und Übergabe</w:t>
            </w:r>
          </w:p>
        </w:tc>
      </w:tr>
      <w:tr>
        <w:trPr>
          <w:trHeight w:hRule="atLeast"/>
        </w:trPr>
        <w:tc>
          <w:tcPr>
            <w:tcW w:type="dxa" w:w="2268"/>
            <w:tcMar>
              <w:top w:w="90" w:type="dxa"/>
              <w:start w:w="90" w:type="dxa"/>
              <w:bottom w:w="90" w:type="dxa"/>
              <w:end w:w="90" w:type="dxa"/>
            </w:tcMar>
            <w:vAlign w:val="top"/>
          </w:tcPr>
          <w:p>
            <w:r>
              <w:rPr>
                <w:b/>
                <w:color w:val="002A5B"/>
                <w:sz w:val="17"/>
              </w:rPr>
              <w:t>Für Unternehmen</w:t>
            </w:r>
          </w:p>
        </w:tc>
        <w:tc>
          <w:tcPr>
            <w:tcW w:type="dxa" w:w="7143"/>
            <w:tcMar>
              <w:top w:w="90" w:type="dxa"/>
              <w:start w:w="90" w:type="dxa"/>
              <w:bottom w:w="90" w:type="dxa"/>
              <w:end w:w="90" w:type="dxa"/>
            </w:tcMar>
            <w:vAlign w:val="top"/>
          </w:tcPr>
          <w:p>
            <w:r>
              <w:rPr>
                <w:sz w:val="17"/>
              </w:rPr>
              <w:t>Workspace, Integrationen, Governance und Enterprise</w:t>
            </w:r>
          </w:p>
        </w:tc>
      </w:tr>
      <w:tr>
        <w:trPr>
          <w:trHeight w:hRule="atLeast"/>
        </w:trPr>
        <w:tc>
          <w:tcPr>
            <w:tcW w:type="dxa" w:w="2268"/>
            <w:tcMar>
              <w:top w:w="90" w:type="dxa"/>
              <w:start w:w="90" w:type="dxa"/>
              <w:bottom w:w="90" w:type="dxa"/>
              <w:end w:w="90" w:type="dxa"/>
            </w:tcMar>
            <w:vAlign w:val="top"/>
          </w:tcPr>
          <w:p>
            <w:r>
              <w:rPr>
                <w:b/>
                <w:color w:val="002A5B"/>
                <w:sz w:val="17"/>
              </w:rPr>
              <w:t>Vertrauen &amp; sealingAI</w:t>
            </w:r>
          </w:p>
        </w:tc>
        <w:tc>
          <w:tcPr>
            <w:tcW w:type="dxa" w:w="7143"/>
            <w:tcMar>
              <w:top w:w="90" w:type="dxa"/>
              <w:start w:w="90" w:type="dxa"/>
              <w:bottom w:w="90" w:type="dxa"/>
              <w:end w:w="90" w:type="dxa"/>
            </w:tcMar>
            <w:vAlign w:val="top"/>
          </w:tcPr>
          <w:p>
            <w:r>
              <w:rPr>
                <w:sz w:val="17"/>
              </w:rPr>
              <w:t>Methodik, Quellen, Neutralität, Sicherheit und Unternehmen</w:t>
            </w:r>
          </w:p>
        </w:tc>
      </w:tr>
    </w:tbl>
    <w:p/>
    <w:p>
      <w:pPr>
        <w:pStyle w:val="Heading2"/>
      </w:pPr>
      <w:r>
        <w:t>16.2 Startseite</w:t>
      </w:r>
    </w:p>
    <w:tbl>
      <w:tblPr>
        <w:tblStyle w:val="TableGrid"/>
        <w:tblW w:type="auto" w:w="0"/>
        <w:jc w:val="center"/>
        <w:tblLook w:firstColumn="1" w:firstRow="1" w:lastColumn="0" w:lastRow="0" w:noHBand="0" w:noVBand="1" w:val="04A0"/>
      </w:tblPr>
      <w:tblGrid>
        <w:gridCol w:w="3286"/>
        <w:gridCol w:w="3286"/>
        <w:gridCol w:w="3286"/>
      </w:tblGrid>
      <w:tr>
        <w:tc>
          <w:tcPr>
            <w:tcW w:type="dxa" w:w="1701"/>
            <w:shd w:fill="17324D"/>
            <w:tcMar>
              <w:top w:w="90" w:type="dxa"/>
              <w:start w:w="90" w:type="dxa"/>
              <w:bottom w:w="90" w:type="dxa"/>
              <w:end w:w="90" w:type="dxa"/>
            </w:tcMar>
            <w:vAlign w:val="center"/>
          </w:tcPr>
          <w:p>
            <w:pPr>
              <w:jc w:val="left"/>
            </w:pPr>
            <w:r>
              <w:rPr>
                <w:b/>
                <w:color w:val="FFFFFF"/>
                <w:sz w:val="16"/>
              </w:rPr>
              <w:t>Sektion</w:t>
            </w:r>
          </w:p>
        </w:tc>
        <w:tc>
          <w:tcPr>
            <w:tcW w:type="dxa" w:w="2494"/>
            <w:shd w:fill="17324D"/>
            <w:tcMar>
              <w:top w:w="90" w:type="dxa"/>
              <w:start w:w="90" w:type="dxa"/>
              <w:bottom w:w="90" w:type="dxa"/>
              <w:end w:w="90" w:type="dxa"/>
            </w:tcMar>
            <w:vAlign w:val="center"/>
          </w:tcPr>
          <w:p>
            <w:pPr>
              <w:jc w:val="left"/>
            </w:pPr>
            <w:r>
              <w:rPr>
                <w:b/>
                <w:color w:val="FFFFFF"/>
                <w:sz w:val="16"/>
              </w:rPr>
              <w:t>Zweck</w:t>
            </w:r>
          </w:p>
        </w:tc>
        <w:tc>
          <w:tcPr>
            <w:tcW w:type="dxa" w:w="5216"/>
            <w:shd w:fill="17324D"/>
            <w:tcMar>
              <w:top w:w="90" w:type="dxa"/>
              <w:start w:w="90" w:type="dxa"/>
              <w:bottom w:w="90" w:type="dxa"/>
              <w:end w:w="90" w:type="dxa"/>
            </w:tcMar>
            <w:vAlign w:val="center"/>
          </w:tcPr>
          <w:p>
            <w:pPr>
              <w:jc w:val="left"/>
            </w:pPr>
            <w:r>
              <w:rPr>
                <w:b/>
                <w:color w:val="FFFFFF"/>
                <w:sz w:val="16"/>
              </w:rPr>
              <w:t>Verbindlicher Inhalt</w:t>
            </w:r>
          </w:p>
        </w:tc>
      </w:tr>
      <w:tr>
        <w:trPr>
          <w:trHeight w:hRule="atLeast"/>
        </w:trPr>
        <w:tc>
          <w:tcPr>
            <w:tcW w:type="dxa" w:w="1701"/>
            <w:tcMar>
              <w:top w:w="90" w:type="dxa"/>
              <w:start w:w="90" w:type="dxa"/>
              <w:bottom w:w="90" w:type="dxa"/>
              <w:end w:w="90" w:type="dxa"/>
            </w:tcMar>
            <w:vAlign w:val="top"/>
          </w:tcPr>
          <w:p>
            <w:r>
              <w:rPr>
                <w:sz w:val="16"/>
              </w:rPr>
              <w:t>Hero</w:t>
            </w:r>
          </w:p>
        </w:tc>
        <w:tc>
          <w:tcPr>
            <w:tcW w:type="dxa" w:w="2494"/>
            <w:tcMar>
              <w:top w:w="90" w:type="dxa"/>
              <w:start w:w="90" w:type="dxa"/>
              <w:bottom w:w="90" w:type="dxa"/>
              <w:end w:w="90" w:type="dxa"/>
            </w:tcMar>
            <w:vAlign w:val="top"/>
          </w:tcPr>
          <w:p>
            <w:r>
              <w:rPr>
                <w:sz w:val="16"/>
              </w:rPr>
              <w:t>Produkt in Sekunden verstehen</w:t>
            </w:r>
          </w:p>
        </w:tc>
        <w:tc>
          <w:tcPr>
            <w:tcW w:type="dxa" w:w="5216"/>
            <w:tcMar>
              <w:top w:w="90" w:type="dxa"/>
              <w:start w:w="90" w:type="dxa"/>
              <w:bottom w:w="90" w:type="dxa"/>
              <w:end w:w="90" w:type="dxa"/>
            </w:tcMar>
            <w:vAlign w:val="top"/>
          </w:tcPr>
          <w:p>
            <w:r>
              <w:rPr>
                <w:sz w:val="16"/>
              </w:rPr>
              <w:t>Claim, ein Eingabefeld, ein primärer CTA, drei Beispielanfragen, Trust Line</w:t>
            </w:r>
          </w:p>
        </w:tc>
      </w:tr>
      <w:tr>
        <w:trPr>
          <w:trHeight w:hRule="atLeast"/>
        </w:trPr>
        <w:tc>
          <w:tcPr>
            <w:tcW w:type="dxa" w:w="1701"/>
            <w:tcMar>
              <w:top w:w="90" w:type="dxa"/>
              <w:start w:w="90" w:type="dxa"/>
              <w:bottom w:w="90" w:type="dxa"/>
              <w:end w:w="90" w:type="dxa"/>
            </w:tcMar>
            <w:vAlign w:val="top"/>
          </w:tcPr>
          <w:p>
            <w:r>
              <w:rPr>
                <w:sz w:val="16"/>
              </w:rPr>
              <w:t>Zwei Nutzungstiefen</w:t>
            </w:r>
          </w:p>
        </w:tc>
        <w:tc>
          <w:tcPr>
            <w:tcW w:type="dxa" w:w="2494"/>
            <w:tcMar>
              <w:top w:w="90" w:type="dxa"/>
              <w:start w:w="90" w:type="dxa"/>
              <w:bottom w:w="90" w:type="dxa"/>
              <w:end w:w="90" w:type="dxa"/>
            </w:tcMar>
            <w:vAlign w:val="top"/>
          </w:tcPr>
          <w:p>
            <w:r>
              <w:rPr>
                <w:sz w:val="16"/>
              </w:rPr>
              <w:t>Wissen und Fall unterscheiden</w:t>
            </w:r>
          </w:p>
        </w:tc>
        <w:tc>
          <w:tcPr>
            <w:tcW w:type="dxa" w:w="5216"/>
            <w:tcMar>
              <w:top w:w="90" w:type="dxa"/>
              <w:start w:w="90" w:type="dxa"/>
              <w:bottom w:w="90" w:type="dxa"/>
              <w:end w:w="90" w:type="dxa"/>
            </w:tcMar>
            <w:vAlign w:val="top"/>
          </w:tcPr>
          <w:p>
            <w:r>
              <w:rPr>
                <w:sz w:val="16"/>
              </w:rPr>
              <w:t>Direkte Antwort vs. strukturierter Workflow</w:t>
            </w:r>
          </w:p>
        </w:tc>
      </w:tr>
      <w:tr>
        <w:trPr>
          <w:trHeight w:hRule="atLeast"/>
        </w:trPr>
        <w:tc>
          <w:tcPr>
            <w:tcW w:type="dxa" w:w="1701"/>
            <w:tcMar>
              <w:top w:w="90" w:type="dxa"/>
              <w:start w:w="90" w:type="dxa"/>
              <w:bottom w:w="90" w:type="dxa"/>
              <w:end w:w="90" w:type="dxa"/>
            </w:tcMar>
            <w:vAlign w:val="top"/>
          </w:tcPr>
          <w:p>
            <w:r>
              <w:rPr>
                <w:sz w:val="16"/>
              </w:rPr>
              <w:t>Mechanismus</w:t>
            </w:r>
          </w:p>
        </w:tc>
        <w:tc>
          <w:tcPr>
            <w:tcW w:type="dxa" w:w="2494"/>
            <w:tcMar>
              <w:top w:w="90" w:type="dxa"/>
              <w:start w:w="90" w:type="dxa"/>
              <w:bottom w:w="90" w:type="dxa"/>
              <w:end w:w="90" w:type="dxa"/>
            </w:tcMar>
            <w:vAlign w:val="top"/>
          </w:tcPr>
          <w:p>
            <w:r>
              <w:rPr>
                <w:sz w:val="16"/>
              </w:rPr>
              <w:t>USP beweisen</w:t>
            </w:r>
          </w:p>
        </w:tc>
        <w:tc>
          <w:tcPr>
            <w:tcW w:type="dxa" w:w="5216"/>
            <w:tcMar>
              <w:top w:w="90" w:type="dxa"/>
              <w:start w:w="90" w:type="dxa"/>
              <w:bottom w:w="90" w:type="dxa"/>
              <w:end w:w="90" w:type="dxa"/>
            </w:tcMar>
            <w:vAlign w:val="top"/>
          </w:tcPr>
          <w:p>
            <w:r>
              <w:rPr>
                <w:sz w:val="16"/>
              </w:rPr>
              <w:t>Frage → Kontext → Evidenz → Entscheidung → Fachprüfung</w:t>
            </w:r>
          </w:p>
        </w:tc>
      </w:tr>
      <w:tr>
        <w:trPr>
          <w:trHeight w:hRule="atLeast"/>
        </w:trPr>
        <w:tc>
          <w:tcPr>
            <w:tcW w:type="dxa" w:w="1701"/>
            <w:tcMar>
              <w:top w:w="90" w:type="dxa"/>
              <w:start w:w="90" w:type="dxa"/>
              <w:bottom w:w="90" w:type="dxa"/>
              <w:end w:w="90" w:type="dxa"/>
            </w:tcMar>
            <w:vAlign w:val="top"/>
          </w:tcPr>
          <w:p>
            <w:r>
              <w:rPr>
                <w:sz w:val="16"/>
              </w:rPr>
              <w:t>Beispielhafter Ablauf</w:t>
            </w:r>
          </w:p>
        </w:tc>
        <w:tc>
          <w:tcPr>
            <w:tcW w:type="dxa" w:w="2494"/>
            <w:tcMar>
              <w:top w:w="90" w:type="dxa"/>
              <w:start w:w="90" w:type="dxa"/>
              <w:bottom w:w="90" w:type="dxa"/>
              <w:end w:w="90" w:type="dxa"/>
            </w:tcMar>
            <w:vAlign w:val="top"/>
          </w:tcPr>
          <w:p>
            <w:r>
              <w:rPr>
                <w:sz w:val="16"/>
              </w:rPr>
              <w:t>Konkretheit</w:t>
            </w:r>
          </w:p>
        </w:tc>
        <w:tc>
          <w:tcPr>
            <w:tcW w:type="dxa" w:w="5216"/>
            <w:tcMar>
              <w:top w:w="90" w:type="dxa"/>
              <w:start w:w="90" w:type="dxa"/>
              <w:bottom w:w="90" w:type="dxa"/>
              <w:end w:w="90" w:type="dxa"/>
            </w:tcMar>
            <w:vAlign w:val="top"/>
          </w:tcPr>
          <w:p>
            <w:r>
              <w:rPr>
                <w:sz w:val="16"/>
              </w:rPr>
              <w:t>Sichtbar als Demo/fiktives Beispiel gekennzeichnet</w:t>
            </w:r>
          </w:p>
        </w:tc>
      </w:tr>
      <w:tr>
        <w:trPr>
          <w:trHeight w:hRule="atLeast"/>
        </w:trPr>
        <w:tc>
          <w:tcPr>
            <w:tcW w:type="dxa" w:w="1701"/>
            <w:tcMar>
              <w:top w:w="90" w:type="dxa"/>
              <w:start w:w="90" w:type="dxa"/>
              <w:bottom w:w="90" w:type="dxa"/>
              <w:end w:w="90" w:type="dxa"/>
            </w:tcMar>
            <w:vAlign w:val="top"/>
          </w:tcPr>
          <w:p>
            <w:r>
              <w:rPr>
                <w:sz w:val="16"/>
              </w:rPr>
              <w:t>Nutzen für Rollen</w:t>
            </w:r>
          </w:p>
        </w:tc>
        <w:tc>
          <w:tcPr>
            <w:tcW w:type="dxa" w:w="2494"/>
            <w:tcMar>
              <w:top w:w="90" w:type="dxa"/>
              <w:start w:w="90" w:type="dxa"/>
              <w:bottom w:w="90" w:type="dxa"/>
              <w:end w:w="90" w:type="dxa"/>
            </w:tcMar>
            <w:vAlign w:val="top"/>
          </w:tcPr>
          <w:p>
            <w:r>
              <w:rPr>
                <w:sz w:val="16"/>
              </w:rPr>
              <w:t>Relevanz</w:t>
            </w:r>
          </w:p>
        </w:tc>
        <w:tc>
          <w:tcPr>
            <w:tcW w:type="dxa" w:w="5216"/>
            <w:tcMar>
              <w:top w:w="90" w:type="dxa"/>
              <w:start w:w="90" w:type="dxa"/>
              <w:bottom w:w="90" w:type="dxa"/>
              <w:end w:w="90" w:type="dxa"/>
            </w:tcMar>
            <w:vAlign w:val="top"/>
          </w:tcPr>
          <w:p>
            <w:r>
              <w:rPr>
                <w:sz w:val="16"/>
              </w:rPr>
              <w:t>Kompakte Tabs oder Matrix statt Kachelwiederholung</w:t>
            </w:r>
          </w:p>
        </w:tc>
      </w:tr>
      <w:tr>
        <w:trPr>
          <w:trHeight w:hRule="atLeast"/>
        </w:trPr>
        <w:tc>
          <w:tcPr>
            <w:tcW w:type="dxa" w:w="1701"/>
            <w:tcMar>
              <w:top w:w="90" w:type="dxa"/>
              <w:start w:w="90" w:type="dxa"/>
              <w:bottom w:w="90" w:type="dxa"/>
              <w:end w:w="90" w:type="dxa"/>
            </w:tcMar>
            <w:vAlign w:val="top"/>
          </w:tcPr>
          <w:p>
            <w:r>
              <w:rPr>
                <w:sz w:val="16"/>
              </w:rPr>
              <w:t>Hersteller</w:t>
            </w:r>
          </w:p>
        </w:tc>
        <w:tc>
          <w:tcPr>
            <w:tcW w:type="dxa" w:w="2494"/>
            <w:tcMar>
              <w:top w:w="90" w:type="dxa"/>
              <w:start w:w="90" w:type="dxa"/>
              <w:bottom w:w="90" w:type="dxa"/>
              <w:end w:w="90" w:type="dxa"/>
            </w:tcMar>
            <w:vAlign w:val="top"/>
          </w:tcPr>
          <w:p>
            <w:r>
              <w:rPr>
                <w:sz w:val="16"/>
              </w:rPr>
              <w:t>Zweite Plattformseite</w:t>
            </w:r>
          </w:p>
        </w:tc>
        <w:tc>
          <w:tcPr>
            <w:tcW w:type="dxa" w:w="5216"/>
            <w:tcMar>
              <w:top w:w="90" w:type="dxa"/>
              <w:start w:w="90" w:type="dxa"/>
              <w:bottom w:w="90" w:type="dxa"/>
              <w:end w:w="90" w:type="dxa"/>
            </w:tcMar>
            <w:vAlign w:val="top"/>
          </w:tcPr>
          <w:p>
            <w:r>
              <w:rPr>
                <w:sz w:val="16"/>
              </w:rPr>
              <w:t>Qualifizierte Fälle und direkter Fachkontakt</w:t>
            </w:r>
          </w:p>
        </w:tc>
      </w:tr>
      <w:tr>
        <w:trPr>
          <w:trHeight w:hRule="atLeast"/>
        </w:trPr>
        <w:tc>
          <w:tcPr>
            <w:tcW w:type="dxa" w:w="1701"/>
            <w:tcMar>
              <w:top w:w="90" w:type="dxa"/>
              <w:start w:w="90" w:type="dxa"/>
              <w:bottom w:w="90" w:type="dxa"/>
              <w:end w:w="90" w:type="dxa"/>
            </w:tcMar>
            <w:vAlign w:val="top"/>
          </w:tcPr>
          <w:p>
            <w:r>
              <w:rPr>
                <w:sz w:val="16"/>
              </w:rPr>
              <w:t>Trust</w:t>
            </w:r>
          </w:p>
        </w:tc>
        <w:tc>
          <w:tcPr>
            <w:tcW w:type="dxa" w:w="2494"/>
            <w:tcMar>
              <w:top w:w="90" w:type="dxa"/>
              <w:start w:w="90" w:type="dxa"/>
              <w:bottom w:w="90" w:type="dxa"/>
              <w:end w:w="90" w:type="dxa"/>
            </w:tcMar>
            <w:vAlign w:val="top"/>
          </w:tcPr>
          <w:p>
            <w:r>
              <w:rPr>
                <w:sz w:val="16"/>
              </w:rPr>
              <w:t>Verantwortung sichtbar</w:t>
            </w:r>
          </w:p>
        </w:tc>
        <w:tc>
          <w:tcPr>
            <w:tcW w:type="dxa" w:w="5216"/>
            <w:tcMar>
              <w:top w:w="90" w:type="dxa"/>
              <w:start w:w="90" w:type="dxa"/>
              <w:bottom w:w="90" w:type="dxa"/>
              <w:end w:w="90" w:type="dxa"/>
            </w:tcMar>
            <w:vAlign w:val="top"/>
          </w:tcPr>
          <w:p>
            <w:r>
              <w:rPr>
                <w:sz w:val="16"/>
              </w:rPr>
              <w:t>Quellen, Grenzen, Neutralität und Freigabe</w:t>
            </w:r>
          </w:p>
        </w:tc>
      </w:tr>
      <w:tr>
        <w:trPr>
          <w:trHeight w:hRule="atLeast"/>
        </w:trPr>
        <w:tc>
          <w:tcPr>
            <w:tcW w:type="dxa" w:w="1701"/>
            <w:tcMar>
              <w:top w:w="90" w:type="dxa"/>
              <w:start w:w="90" w:type="dxa"/>
              <w:bottom w:w="90" w:type="dxa"/>
              <w:end w:w="90" w:type="dxa"/>
            </w:tcMar>
            <w:vAlign w:val="top"/>
          </w:tcPr>
          <w:p>
            <w:r>
              <w:rPr>
                <w:sz w:val="16"/>
              </w:rPr>
              <w:t>Wissenseinstieg</w:t>
            </w:r>
          </w:p>
        </w:tc>
        <w:tc>
          <w:tcPr>
            <w:tcW w:type="dxa" w:w="2494"/>
            <w:tcMar>
              <w:top w:w="90" w:type="dxa"/>
              <w:start w:w="90" w:type="dxa"/>
              <w:bottom w:w="90" w:type="dxa"/>
              <w:end w:w="90" w:type="dxa"/>
            </w:tcMar>
            <w:vAlign w:val="top"/>
          </w:tcPr>
          <w:p>
            <w:r>
              <w:rPr>
                <w:sz w:val="16"/>
              </w:rPr>
              <w:t>SEO und Exploration</w:t>
            </w:r>
          </w:p>
        </w:tc>
        <w:tc>
          <w:tcPr>
            <w:tcW w:type="dxa" w:w="5216"/>
            <w:tcMar>
              <w:top w:w="90" w:type="dxa"/>
              <w:start w:w="90" w:type="dxa"/>
              <w:bottom w:w="90" w:type="dxa"/>
              <w:end w:w="90" w:type="dxa"/>
            </w:tcMar>
            <w:vAlign w:val="top"/>
          </w:tcPr>
          <w:p>
            <w:r>
              <w:rPr>
                <w:sz w:val="16"/>
              </w:rPr>
              <w:t>Priorisierte, geprüfte Fachthemen</w:t>
            </w:r>
          </w:p>
        </w:tc>
      </w:tr>
    </w:tbl>
    <w:p/>
    <w:p>
      <w:pPr>
        <w:pStyle w:val="Heading2"/>
      </w:pPr>
      <w:r>
        <w:t>16.3 Hero-Solltext</w:t>
      </w:r>
    </w:p>
    <w:tbl>
      <w:tblPr>
        <w:tblW w:type="auto" w:w="0"/>
        <w:jc w:val="center"/>
        <w:tblLook w:firstColumn="1" w:firstRow="1" w:lastColumn="0" w:lastRow="0" w:noHBand="0" w:noVBand="1" w:val="04A0"/>
      </w:tblPr>
      <w:tblGrid>
        <w:gridCol w:w="9859"/>
      </w:tblGrid>
      <w:tr>
        <w:tc>
          <w:tcPr>
            <w:tcW w:type="dxa" w:w="9859"/>
            <w:shd w:fill="EAF2F8"/>
            <w:tcMar>
              <w:top w:w="150" w:type="dxa"/>
              <w:start w:w="170" w:type="dxa"/>
              <w:bottom w:w="150" w:type="dxa"/>
              <w:end w:w="170" w:type="dxa"/>
            </w:tcMar>
          </w:tcPr>
          <w:p>
            <w:r>
              <w:rPr>
                <w:b/>
                <w:color w:val="002A5B"/>
                <w:sz w:val="21"/>
              </w:rPr>
              <w:t>Headline</w:t>
            </w:r>
            <w:r>
              <w:br/>
              <w:t>Dichtungstechnik. Von der Frage zur prüfbaren Entscheidung.</w:t>
            </w:r>
          </w:p>
        </w:tc>
      </w:tr>
    </w:tbl>
    <w:p/>
    <w:p>
      <w:r>
        <w:t>Subheadline: sealingAI beantwortet Fachfragen direkt und führt anwendungsabhängige Dichtungsfragen in einen strukturierten, quellenbasierten Fall – mit sichtbaren Datenlücken, Risiken und klarer fachlicher Freigabe.</w:t>
      </w:r>
    </w:p>
    <w:p>
      <w:r>
        <w:t>Primärer CTA: Frage oder Fall starten.</w:t>
      </w:r>
    </w:p>
    <w:p>
      <w:r>
        <w:t>Sekundärer Textlink: Wissen entdecken.</w:t>
      </w:r>
    </w:p>
    <w:p>
      <w:r>
        <w:t>Trust Line: Vollständigkeit vor Empfehlung. Quellen vor Behauptung. Freigabe vor Einsatz.</w:t>
      </w:r>
    </w:p>
    <w:p>
      <w:pPr>
        <w:pStyle w:val="Heading2"/>
      </w:pPr>
      <w:r>
        <w:t>16.4 Demo- und Proof-Regel</w:t>
      </w:r>
    </w:p>
    <w:p>
      <w:r>
        <w:t>Vor dem ersten realen Pilotbeleg werden Beispiele ausschließlich als „beispielhafter Ablauf“, „Demonstrationsfall“ oder „fiktives Anwendungsbeispiel“ bezeichnet. Quantitative Wirkungsclaims und reale Fallstudien erfordern dokumentierte Pilotdaten und Freigabe.</w:t>
      </w:r>
    </w:p>
    <w:p>
      <w:pPr>
        <w:pStyle w:val="Heading2"/>
      </w:pPr>
      <w:r>
        <w:t>16.5 Markenführung</w:t>
      </w:r>
    </w:p>
    <w:p>
      <w:r>
        <w:t>Die verbindliche Schreibweise lautet sealingAI. Logo, Footer, Metadaten, strukturierte Daten, App, Rechtstexte, E-Mails und Herstellerportal werden automatisiert und manuell auf Konsistenz geprüft.</w:t>
      </w:r>
    </w:p>
    <w:p>
      <w:r>
        <w:br w:type="page"/>
      </w:r>
    </w:p>
    <w:p>
      <w:pPr>
        <w:pStyle w:val="Heading1"/>
      </w:pPr>
      <w:r>
        <w:t>17. Fachseiten- und Content-Templates</w:t>
      </w:r>
    </w:p>
    <w:p>
      <w:pPr>
        <w:pStyle w:val="Heading2"/>
      </w:pPr>
      <w:r>
        <w:t>17.1 Dichtungstyp-Seite</w:t>
      </w:r>
    </w:p>
    <w:p>
      <w:pPr>
        <w:pStyle w:val="ListNumber"/>
        <w:spacing w:after="40"/>
      </w:pPr>
      <w:r>
        <w:t>Kurzdefinition und Einsatz</w:t>
      </w:r>
    </w:p>
    <w:p>
      <w:pPr>
        <w:pStyle w:val="ListNumber"/>
        <w:spacing w:after="40"/>
      </w:pPr>
      <w:r>
        <w:t>Wirkprinzip und visualisierter Aufbau</w:t>
      </w:r>
    </w:p>
    <w:p>
      <w:pPr>
        <w:pStyle w:val="ListNumber"/>
        <w:spacing w:after="40"/>
      </w:pPr>
      <w:r>
        <w:t>Bauformen und Varianten</w:t>
      </w:r>
    </w:p>
    <w:p>
      <w:pPr>
        <w:pStyle w:val="ListNumber"/>
        <w:spacing w:after="40"/>
      </w:pPr>
      <w:r>
        <w:t>Werkstoffe und Komponenten</w:t>
      </w:r>
    </w:p>
    <w:p>
      <w:pPr>
        <w:pStyle w:val="ListNumber"/>
        <w:spacing w:after="40"/>
      </w:pPr>
      <w:r>
        <w:t>Betriebs- und Gegenkörperanforderungen</w:t>
      </w:r>
    </w:p>
    <w:p>
      <w:pPr>
        <w:pStyle w:val="ListNumber"/>
        <w:spacing w:after="40"/>
      </w:pPr>
      <w:r>
        <w:t>Auslegung und relevante Rechner</w:t>
      </w:r>
    </w:p>
    <w:p>
      <w:pPr>
        <w:pStyle w:val="ListNumber"/>
        <w:spacing w:after="40"/>
      </w:pPr>
      <w:r>
        <w:t>Montage, Lagerung und Inbetriebnahme</w:t>
      </w:r>
    </w:p>
    <w:p>
      <w:pPr>
        <w:pStyle w:val="ListNumber"/>
        <w:spacing w:after="40"/>
      </w:pPr>
      <w:r>
        <w:t>Schadensbilder und Diagnose</w:t>
      </w:r>
    </w:p>
    <w:p>
      <w:pPr>
        <w:pStyle w:val="ListNumber"/>
        <w:spacing w:after="40"/>
      </w:pPr>
      <w:r>
        <w:t>Normen, Prüfungen und Nachweise</w:t>
      </w:r>
    </w:p>
    <w:p>
      <w:pPr>
        <w:pStyle w:val="ListNumber"/>
        <w:spacing w:after="40"/>
      </w:pPr>
      <w:r>
        <w:t>Alternativen und Substitution</w:t>
      </w:r>
    </w:p>
    <w:p>
      <w:pPr>
        <w:pStyle w:val="ListNumber"/>
        <w:spacing w:after="40"/>
      </w:pPr>
      <w:r>
        <w:t>Herstellerkompetenzen und Produkte</w:t>
      </w:r>
    </w:p>
    <w:p>
      <w:pPr>
        <w:pStyle w:val="ListNumber"/>
        <w:spacing w:after="40"/>
      </w:pPr>
      <w:r>
        <w:t>Übergang in Frage, Vergleich oder Fall</w:t>
      </w:r>
    </w:p>
    <w:p>
      <w:pPr>
        <w:pStyle w:val="Heading2"/>
      </w:pPr>
      <w:r>
        <w:t>17.2 Werkstoff-/Compound-Seite</w:t>
      </w:r>
    </w:p>
    <w:p>
      <w:pPr>
        <w:pStyle w:val="ListNumber"/>
        <w:spacing w:after="40"/>
      </w:pPr>
      <w:r>
        <w:t>Einordnung und chemischer Aufbau</w:t>
      </w:r>
    </w:p>
    <w:p>
      <w:pPr>
        <w:pStyle w:val="ListNumber"/>
        <w:spacing w:after="40"/>
      </w:pPr>
      <w:r>
        <w:t>Abgrenzung Familie, Typ, Compound und Produkt</w:t>
      </w:r>
    </w:p>
    <w:p>
      <w:pPr>
        <w:pStyle w:val="ListNumber"/>
        <w:spacing w:after="40"/>
      </w:pPr>
      <w:r>
        <w:t>mechanische, thermische und chemische Eigenschaften</w:t>
      </w:r>
    </w:p>
    <w:p>
      <w:pPr>
        <w:pStyle w:val="ListNumber"/>
        <w:spacing w:after="40"/>
      </w:pPr>
      <w:r>
        <w:t>Beständigkeit unter definierten Bedingungen</w:t>
      </w:r>
    </w:p>
    <w:p>
      <w:pPr>
        <w:pStyle w:val="ListNumber"/>
        <w:spacing w:after="40"/>
      </w:pPr>
      <w:r>
        <w:t>Alterung, Permeation, Quellung und Dekompression</w:t>
      </w:r>
    </w:p>
    <w:p>
      <w:pPr>
        <w:pStyle w:val="ListNumber"/>
        <w:spacing w:after="40"/>
      </w:pPr>
      <w:r>
        <w:t>statische und dynamische Eignung</w:t>
      </w:r>
    </w:p>
    <w:p>
      <w:pPr>
        <w:pStyle w:val="ListNumber"/>
        <w:spacing w:after="40"/>
      </w:pPr>
      <w:r>
        <w:t>Zulassungen und regulatorische Aspekte</w:t>
      </w:r>
    </w:p>
    <w:p>
      <w:pPr>
        <w:pStyle w:val="ListNumber"/>
        <w:spacing w:after="40"/>
      </w:pPr>
      <w:r>
        <w:t>Verarbeitung, Härten, Lieferformen und Lagerung</w:t>
      </w:r>
    </w:p>
    <w:p>
      <w:pPr>
        <w:pStyle w:val="ListNumber"/>
        <w:spacing w:after="40"/>
      </w:pPr>
      <w:r>
        <w:t>typische Anwendungen und Failure Modes</w:t>
      </w:r>
    </w:p>
    <w:p>
      <w:pPr>
        <w:pStyle w:val="ListNumber"/>
        <w:spacing w:after="40"/>
      </w:pPr>
      <w:r>
        <w:t>Trade-offs und Alternativen</w:t>
      </w:r>
    </w:p>
    <w:p>
      <w:pPr>
        <w:pStyle w:val="ListNumber"/>
        <w:spacing w:after="40"/>
      </w:pPr>
      <w:r>
        <w:t>konkrete Claims mit Quellen, Applicability und Reviewstatus</w:t>
      </w:r>
    </w:p>
    <w:p>
      <w:pPr>
        <w:pStyle w:val="Heading2"/>
      </w:pPr>
      <w:r>
        <w:t>17.3 Vergleichsseite</w:t>
      </w:r>
    </w:p>
    <w:p>
      <w:r>
        <w:t>Vergleiche zeigen keine pauschalen Gewinner. Jeder Vergleich enthält Kriterien, Bedingungen, Quelle, Spezifität, Unsicherheit, Zielkonflikt und notwendigen Prüfbedarf.</w:t>
      </w:r>
    </w:p>
    <w:p>
      <w:pPr>
        <w:pStyle w:val="Heading2"/>
      </w:pPr>
      <w:r>
        <w:t>17.4 Schadensseite</w:t>
      </w:r>
    </w:p>
    <w:p>
      <w:r>
        <w:t>Jede Schadensseite trennt Beobachtung, mögliche Ursache, Indizien dafür, Indizien dagegen, Prüfmaßnahme, Sofortmaßnahme und Eskalation. Ein Bildklassifikator darf nur Hypothesen priorisieren und niemals allein eine Root Cause bestätigen.</w:t>
      </w:r>
    </w:p>
    <w:p>
      <w:r>
        <w:br w:type="page"/>
      </w:r>
    </w:p>
    <w:p>
      <w:pPr>
        <w:pStyle w:val="Heading1"/>
      </w:pPr>
      <w:r>
        <w:t>18. Messsystem und North-Star-Metriken</w:t>
      </w:r>
    </w:p>
    <w:p>
      <w:pPr>
        <w:pStyle w:val="Heading2"/>
      </w:pPr>
      <w:r>
        <w:t>18.1 Reifegradabhängige Metrikkaskade – M16</w:t>
      </w:r>
    </w:p>
    <w:tbl>
      <w:tblPr>
        <w:tblStyle w:val="TableGrid"/>
        <w:tblW w:type="auto" w:w="0"/>
        <w:jc w:val="center"/>
        <w:tblLook w:firstColumn="1" w:firstRow="1" w:lastColumn="0" w:lastRow="0" w:noHBand="0" w:noVBand="1" w:val="04A0"/>
      </w:tblPr>
      <w:tblGrid>
        <w:gridCol w:w="3286"/>
        <w:gridCol w:w="3286"/>
        <w:gridCol w:w="3286"/>
      </w:tblGrid>
      <w:tr>
        <w:tc>
          <w:tcPr>
            <w:tcW w:type="dxa" w:w="1474"/>
            <w:shd w:fill="17324D"/>
            <w:tcMar>
              <w:top w:w="90" w:type="dxa"/>
              <w:start w:w="90" w:type="dxa"/>
              <w:bottom w:w="90" w:type="dxa"/>
              <w:end w:w="90" w:type="dxa"/>
            </w:tcMar>
            <w:vAlign w:val="center"/>
          </w:tcPr>
          <w:p>
            <w:pPr>
              <w:jc w:val="left"/>
            </w:pPr>
            <w:r>
              <w:rPr>
                <w:b/>
                <w:color w:val="FFFFFF"/>
                <w:sz w:val="17"/>
              </w:rPr>
              <w:t>Horizont</w:t>
            </w:r>
          </w:p>
        </w:tc>
        <w:tc>
          <w:tcPr>
            <w:tcW w:type="dxa" w:w="2948"/>
            <w:shd w:fill="17324D"/>
            <w:tcMar>
              <w:top w:w="90" w:type="dxa"/>
              <w:start w:w="90" w:type="dxa"/>
              <w:bottom w:w="90" w:type="dxa"/>
              <w:end w:w="90" w:type="dxa"/>
            </w:tcMar>
            <w:vAlign w:val="center"/>
          </w:tcPr>
          <w:p>
            <w:pPr>
              <w:jc w:val="left"/>
            </w:pPr>
            <w:r>
              <w:rPr>
                <w:b/>
                <w:color w:val="FFFFFF"/>
                <w:sz w:val="17"/>
              </w:rPr>
              <w:t>North-Star-Metrik</w:t>
            </w:r>
          </w:p>
        </w:tc>
        <w:tc>
          <w:tcPr>
            <w:tcW w:type="dxa" w:w="4989"/>
            <w:shd w:fill="17324D"/>
            <w:tcMar>
              <w:top w:w="90" w:type="dxa"/>
              <w:start w:w="90" w:type="dxa"/>
              <w:bottom w:w="90" w:type="dxa"/>
              <w:end w:w="90" w:type="dxa"/>
            </w:tcMar>
            <w:vAlign w:val="center"/>
          </w:tcPr>
          <w:p>
            <w:pPr>
              <w:jc w:val="left"/>
            </w:pPr>
            <w:r>
              <w:rPr>
                <w:b/>
                <w:color w:val="FFFFFF"/>
                <w:sz w:val="17"/>
              </w:rPr>
              <w:t>Definition</w:t>
            </w:r>
          </w:p>
        </w:tc>
      </w:tr>
      <w:tr>
        <w:trPr>
          <w:trHeight w:hRule="atLeast"/>
        </w:trPr>
        <w:tc>
          <w:tcPr>
            <w:tcW w:type="dxa" w:w="1474"/>
            <w:tcMar>
              <w:top w:w="90" w:type="dxa"/>
              <w:start w:w="90" w:type="dxa"/>
              <w:bottom w:w="90" w:type="dxa"/>
              <w:end w:w="90" w:type="dxa"/>
            </w:tcMar>
            <w:vAlign w:val="top"/>
          </w:tcPr>
          <w:p>
            <w:r>
              <w:rPr>
                <w:b/>
                <w:color w:val="002A5B"/>
                <w:sz w:val="17"/>
              </w:rPr>
              <w:t>H1 Wissen</w:t>
            </w:r>
          </w:p>
        </w:tc>
        <w:tc>
          <w:tcPr>
            <w:tcW w:type="dxa" w:w="2948"/>
            <w:tcMar>
              <w:top w:w="90" w:type="dxa"/>
              <w:start w:w="90" w:type="dxa"/>
              <w:bottom w:w="90" w:type="dxa"/>
              <w:end w:w="90" w:type="dxa"/>
            </w:tcMar>
            <w:vAlign w:val="top"/>
          </w:tcPr>
          <w:p>
            <w:r>
              <w:rPr>
                <w:sz w:val="17"/>
              </w:rPr>
              <w:t>Monthly Useful Sealing Sessions</w:t>
            </w:r>
          </w:p>
        </w:tc>
        <w:tc>
          <w:tcPr>
            <w:tcW w:type="dxa" w:w="4989"/>
            <w:tcMar>
              <w:top w:w="90" w:type="dxa"/>
              <w:start w:w="90" w:type="dxa"/>
              <w:bottom w:w="90" w:type="dxa"/>
              <w:end w:w="90" w:type="dxa"/>
            </w:tcMar>
            <w:vAlign w:val="top"/>
          </w:tcPr>
          <w:p>
            <w:r>
              <w:rPr>
                <w:sz w:val="17"/>
              </w:rPr>
              <w:t>Sitzung mit positiver Bewertung, geöffneten Quellen, abgeschlossenem Vergleich, erzeugtem Artefakt oder gestartetem Workflow.</w:t>
            </w:r>
          </w:p>
        </w:tc>
      </w:tr>
      <w:tr>
        <w:trPr>
          <w:trHeight w:hRule="atLeast"/>
        </w:trPr>
        <w:tc>
          <w:tcPr>
            <w:tcW w:type="dxa" w:w="1474"/>
            <w:tcMar>
              <w:top w:w="90" w:type="dxa"/>
              <w:start w:w="90" w:type="dxa"/>
              <w:bottom w:w="90" w:type="dxa"/>
              <w:end w:w="90" w:type="dxa"/>
            </w:tcMar>
            <w:vAlign w:val="top"/>
          </w:tcPr>
          <w:p>
            <w:r>
              <w:rPr>
                <w:b/>
                <w:color w:val="002A5B"/>
                <w:sz w:val="17"/>
              </w:rPr>
              <w:t>H2 Case Core</w:t>
            </w:r>
          </w:p>
        </w:tc>
        <w:tc>
          <w:tcPr>
            <w:tcW w:type="dxa" w:w="2948"/>
            <w:tcMar>
              <w:top w:w="90" w:type="dxa"/>
              <w:start w:w="90" w:type="dxa"/>
              <w:bottom w:w="90" w:type="dxa"/>
              <w:end w:w="90" w:type="dxa"/>
            </w:tcMar>
            <w:vAlign w:val="top"/>
          </w:tcPr>
          <w:p>
            <w:r>
              <w:rPr>
                <w:sz w:val="17"/>
              </w:rPr>
              <w:t>Monthly Qualified Sealing Cases</w:t>
            </w:r>
          </w:p>
        </w:tc>
        <w:tc>
          <w:tcPr>
            <w:tcW w:type="dxa" w:w="4989"/>
            <w:tcMar>
              <w:top w:w="90" w:type="dxa"/>
              <w:start w:w="90" w:type="dxa"/>
              <w:bottom w:w="90" w:type="dxa"/>
              <w:end w:w="90" w:type="dxa"/>
            </w:tcMar>
            <w:vAlign w:val="top"/>
          </w:tcPr>
          <w:p>
            <w:r>
              <w:rPr>
                <w:sz w:val="17"/>
              </w:rPr>
              <w:t>Strukturierter Fall mit Nutzerjob, Known/Unknown, Risiko und verwertbarem Ergebnis oder nächstem Schritt.</w:t>
            </w:r>
          </w:p>
        </w:tc>
      </w:tr>
      <w:tr>
        <w:trPr>
          <w:trHeight w:hRule="atLeast"/>
        </w:trPr>
        <w:tc>
          <w:tcPr>
            <w:tcW w:type="dxa" w:w="1474"/>
            <w:tcMar>
              <w:top w:w="90" w:type="dxa"/>
              <w:start w:w="90" w:type="dxa"/>
              <w:bottom w:w="90" w:type="dxa"/>
              <w:end w:w="90" w:type="dxa"/>
            </w:tcMar>
            <w:vAlign w:val="top"/>
          </w:tcPr>
          <w:p>
            <w:r>
              <w:rPr>
                <w:b/>
                <w:color w:val="002A5B"/>
                <w:sz w:val="17"/>
              </w:rPr>
              <w:t>H3 Review</w:t>
            </w:r>
          </w:p>
        </w:tc>
        <w:tc>
          <w:tcPr>
            <w:tcW w:type="dxa" w:w="2948"/>
            <w:tcMar>
              <w:top w:w="90" w:type="dxa"/>
              <w:start w:w="90" w:type="dxa"/>
              <w:bottom w:w="90" w:type="dxa"/>
              <w:end w:w="90" w:type="dxa"/>
            </w:tcMar>
            <w:vAlign w:val="top"/>
          </w:tcPr>
          <w:p>
            <w:r>
              <w:rPr>
                <w:sz w:val="17"/>
              </w:rPr>
              <w:t>Technically Reviewed Cases</w:t>
            </w:r>
          </w:p>
        </w:tc>
        <w:tc>
          <w:tcPr>
            <w:tcW w:type="dxa" w:w="4989"/>
            <w:tcMar>
              <w:top w:w="90" w:type="dxa"/>
              <w:start w:w="90" w:type="dxa"/>
              <w:bottom w:w="90" w:type="dxa"/>
              <w:end w:w="90" w:type="dxa"/>
            </w:tcMar>
            <w:vAlign w:val="top"/>
          </w:tcPr>
          <w:p>
            <w:r>
              <w:rPr>
                <w:sz w:val="17"/>
              </w:rPr>
              <w:t>Fälle mit dokumentierter Hersteller-/Expertenprüfung.</w:t>
            </w:r>
          </w:p>
        </w:tc>
      </w:tr>
      <w:tr>
        <w:trPr>
          <w:trHeight w:hRule="atLeast"/>
        </w:trPr>
        <w:tc>
          <w:tcPr>
            <w:tcW w:type="dxa" w:w="1474"/>
            <w:tcMar>
              <w:top w:w="90" w:type="dxa"/>
              <w:start w:w="90" w:type="dxa"/>
              <w:bottom w:w="90" w:type="dxa"/>
              <w:end w:w="90" w:type="dxa"/>
            </w:tcMar>
            <w:vAlign w:val="top"/>
          </w:tcPr>
          <w:p>
            <w:r>
              <w:rPr>
                <w:b/>
                <w:color w:val="002A5B"/>
                <w:sz w:val="17"/>
              </w:rPr>
              <w:t>H4 Netzwerk</w:t>
            </w:r>
          </w:p>
        </w:tc>
        <w:tc>
          <w:tcPr>
            <w:tcW w:type="dxa" w:w="2948"/>
            <w:tcMar>
              <w:top w:w="90" w:type="dxa"/>
              <w:start w:w="90" w:type="dxa"/>
              <w:bottom w:w="90" w:type="dxa"/>
              <w:end w:w="90" w:type="dxa"/>
            </w:tcMar>
            <w:vAlign w:val="top"/>
          </w:tcPr>
          <w:p>
            <w:r>
              <w:rPr>
                <w:sz w:val="17"/>
              </w:rPr>
              <w:t>Manufacturer-Ready Cases</w:t>
            </w:r>
          </w:p>
        </w:tc>
        <w:tc>
          <w:tcPr>
            <w:tcW w:type="dxa" w:w="4989"/>
            <w:tcMar>
              <w:top w:w="90" w:type="dxa"/>
              <w:start w:w="90" w:type="dxa"/>
              <w:bottom w:w="90" w:type="dxa"/>
              <w:end w:w="90" w:type="dxa"/>
            </w:tcMar>
            <w:vAlign w:val="top"/>
          </w:tcPr>
          <w:p>
            <w:r>
              <w:rPr>
                <w:sz w:val="17"/>
              </w:rPr>
              <w:t>Qualifizierte Übergaben, angenommen oder fachlich beantwortet.</w:t>
            </w:r>
          </w:p>
        </w:tc>
      </w:tr>
      <w:tr>
        <w:trPr>
          <w:trHeight w:hRule="atLeast"/>
        </w:trPr>
        <w:tc>
          <w:tcPr>
            <w:tcW w:type="dxa" w:w="1474"/>
            <w:tcMar>
              <w:top w:w="90" w:type="dxa"/>
              <w:start w:w="90" w:type="dxa"/>
              <w:bottom w:w="90" w:type="dxa"/>
              <w:end w:w="90" w:type="dxa"/>
            </w:tcMar>
            <w:vAlign w:val="top"/>
          </w:tcPr>
          <w:p>
            <w:r>
              <w:rPr>
                <w:b/>
                <w:color w:val="002A5B"/>
                <w:sz w:val="17"/>
              </w:rPr>
              <w:t>H5 Lifecycle</w:t>
            </w:r>
          </w:p>
        </w:tc>
        <w:tc>
          <w:tcPr>
            <w:tcW w:type="dxa" w:w="2948"/>
            <w:tcMar>
              <w:top w:w="90" w:type="dxa"/>
              <w:start w:w="90" w:type="dxa"/>
              <w:bottom w:w="90" w:type="dxa"/>
              <w:end w:w="90" w:type="dxa"/>
            </w:tcMar>
            <w:vAlign w:val="top"/>
          </w:tcPr>
          <w:p>
            <w:r>
              <w:rPr>
                <w:sz w:val="17"/>
              </w:rPr>
              <w:t>Cases with Recorded Field Outcome</w:t>
            </w:r>
          </w:p>
        </w:tc>
        <w:tc>
          <w:tcPr>
            <w:tcW w:type="dxa" w:w="4989"/>
            <w:tcMar>
              <w:top w:w="90" w:type="dxa"/>
              <w:start w:w="90" w:type="dxa"/>
              <w:bottom w:w="90" w:type="dxa"/>
              <w:end w:w="90" w:type="dxa"/>
            </w:tcMar>
            <w:vAlign w:val="top"/>
          </w:tcPr>
          <w:p>
            <w:r>
              <w:rPr>
                <w:sz w:val="17"/>
              </w:rPr>
              <w:t>Fälle mit mindestens einem validen Feldergebnis.</w:t>
            </w:r>
          </w:p>
        </w:tc>
      </w:tr>
    </w:tbl>
    <w:p/>
    <w:p>
      <w:pPr>
        <w:pStyle w:val="Heading2"/>
      </w:pPr>
      <w:r>
        <w:t>18.2 Qualitätsmetriken</w:t>
      </w:r>
    </w:p>
    <w:p>
      <w:pPr>
        <w:pStyle w:val="ListBullet"/>
        <w:spacing w:after="40"/>
      </w:pPr>
      <w:r>
        <w:t>Hard-Gate-Verletzungen = 0</w:t>
      </w:r>
    </w:p>
    <w:p>
      <w:pPr>
        <w:pStyle w:val="ListBullet"/>
        <w:spacing w:after="40"/>
      </w:pPr>
      <w:r>
        <w:t>erfundene Zahlen/Normen = 0</w:t>
      </w:r>
    </w:p>
    <w:p>
      <w:pPr>
        <w:pStyle w:val="ListBullet"/>
        <w:spacing w:after="40"/>
      </w:pPr>
      <w:r>
        <w:t>Claim-Zitationsabdeckung</w:t>
      </w:r>
    </w:p>
    <w:p>
      <w:pPr>
        <w:pStyle w:val="ListBullet"/>
        <w:spacing w:after="40"/>
      </w:pPr>
      <w:r>
        <w:t>Applicability- und Unknown-Abdeckung</w:t>
      </w:r>
    </w:p>
    <w:p>
      <w:pPr>
        <w:pStyle w:val="ListBullet"/>
        <w:spacing w:after="40"/>
      </w:pPr>
      <w:r>
        <w:t>Overclaim-Rate</w:t>
      </w:r>
    </w:p>
    <w:p>
      <w:pPr>
        <w:pStyle w:val="ListBullet"/>
        <w:spacing w:after="40"/>
      </w:pPr>
      <w:r>
        <w:t>Re-Ask-Rate bereits bekannter Fakten</w:t>
      </w:r>
    </w:p>
    <w:p>
      <w:pPr>
        <w:pStyle w:val="ListBullet"/>
        <w:spacing w:after="40"/>
      </w:pPr>
      <w:r>
        <w:t>Rückfrageschleifen bis Herstellerbewertung</w:t>
      </w:r>
    </w:p>
    <w:p>
      <w:pPr>
        <w:pStyle w:val="ListBullet"/>
        <w:spacing w:after="40"/>
      </w:pPr>
      <w:r>
        <w:t>Zeit bis Manufacturer-Ready Brief</w:t>
      </w:r>
    </w:p>
    <w:p>
      <w:pPr>
        <w:pStyle w:val="ListBullet"/>
        <w:spacing w:after="40"/>
      </w:pPr>
      <w:r>
        <w:t>Annahme-/Ablehnungsgründe im Hersteller-Fit</w:t>
      </w:r>
    </w:p>
    <w:p>
      <w:pPr>
        <w:pStyle w:val="ListBullet"/>
        <w:spacing w:after="40"/>
      </w:pPr>
      <w:r>
        <w:t>Outcome-Rückmeldequote und Validierungsqualität</w:t>
      </w:r>
    </w:p>
    <w:p>
      <w:r>
        <w:br w:type="page"/>
      </w:r>
    </w:p>
    <w:p>
      <w:pPr>
        <w:pStyle w:val="Heading1"/>
      </w:pPr>
      <w:r>
        <w:t>19. Umsetzungsstrategie und Horizonte</w:t>
      </w:r>
    </w:p>
    <w:tbl>
      <w:tblPr>
        <w:tblStyle w:val="TableGrid"/>
        <w:tblW w:type="auto" w:w="0"/>
        <w:jc w:val="center"/>
        <w:tblLook w:firstColumn="1" w:firstRow="1" w:lastColumn="0" w:lastRow="0" w:noHBand="0" w:noVBand="1" w:val="04A0"/>
      </w:tblPr>
      <w:tblGrid>
        <w:gridCol w:w="2465"/>
        <w:gridCol w:w="2465"/>
        <w:gridCol w:w="2465"/>
        <w:gridCol w:w="2465"/>
      </w:tblGrid>
      <w:tr>
        <w:tc>
          <w:tcPr>
            <w:tcW w:type="dxa" w:w="1417"/>
            <w:shd w:fill="17324D"/>
            <w:tcMar>
              <w:top w:w="90" w:type="dxa"/>
              <w:start w:w="90" w:type="dxa"/>
              <w:bottom w:w="90" w:type="dxa"/>
              <w:end w:w="90" w:type="dxa"/>
            </w:tcMar>
            <w:vAlign w:val="center"/>
          </w:tcPr>
          <w:p>
            <w:pPr>
              <w:jc w:val="left"/>
            </w:pPr>
            <w:r>
              <w:rPr>
                <w:b/>
                <w:color w:val="FFFFFF"/>
                <w:sz w:val="15"/>
              </w:rPr>
              <w:t>Horizont</w:t>
            </w:r>
          </w:p>
        </w:tc>
        <w:tc>
          <w:tcPr>
            <w:tcW w:type="dxa" w:w="2268"/>
            <w:shd w:fill="17324D"/>
            <w:tcMar>
              <w:top w:w="90" w:type="dxa"/>
              <w:start w:w="90" w:type="dxa"/>
              <w:bottom w:w="90" w:type="dxa"/>
              <w:end w:w="90" w:type="dxa"/>
            </w:tcMar>
            <w:vAlign w:val="center"/>
          </w:tcPr>
          <w:p>
            <w:pPr>
              <w:jc w:val="left"/>
            </w:pPr>
            <w:r>
              <w:rPr>
                <w:b/>
                <w:color w:val="FFFFFF"/>
                <w:sz w:val="15"/>
              </w:rPr>
              <w:t>Ziel</w:t>
            </w:r>
          </w:p>
        </w:tc>
        <w:tc>
          <w:tcPr>
            <w:tcW w:type="dxa" w:w="3742"/>
            <w:shd w:fill="17324D"/>
            <w:tcMar>
              <w:top w:w="90" w:type="dxa"/>
              <w:start w:w="90" w:type="dxa"/>
              <w:bottom w:w="90" w:type="dxa"/>
              <w:end w:w="90" w:type="dxa"/>
            </w:tcMar>
            <w:vAlign w:val="center"/>
          </w:tcPr>
          <w:p>
            <w:pPr>
              <w:jc w:val="left"/>
            </w:pPr>
            <w:r>
              <w:rPr>
                <w:b/>
                <w:color w:val="FFFFFF"/>
                <w:sz w:val="15"/>
              </w:rPr>
              <w:t>Pflichtumfang</w:t>
            </w:r>
          </w:p>
        </w:tc>
        <w:tc>
          <w:tcPr>
            <w:tcW w:type="dxa" w:w="1984"/>
            <w:shd w:fill="17324D"/>
            <w:tcMar>
              <w:top w:w="90" w:type="dxa"/>
              <w:start w:w="90" w:type="dxa"/>
              <w:bottom w:w="90" w:type="dxa"/>
              <w:end w:w="90" w:type="dxa"/>
            </w:tcMar>
            <w:vAlign w:val="center"/>
          </w:tcPr>
          <w:p>
            <w:pPr>
              <w:jc w:val="left"/>
            </w:pPr>
            <w:r>
              <w:rPr>
                <w:b/>
                <w:color w:val="FFFFFF"/>
                <w:sz w:val="15"/>
              </w:rPr>
              <w:t>Nicht jetzt</w:t>
            </w:r>
          </w:p>
        </w:tc>
      </w:tr>
      <w:tr>
        <w:trPr>
          <w:trHeight w:hRule="atLeast"/>
        </w:trPr>
        <w:tc>
          <w:tcPr>
            <w:tcW w:type="dxa" w:w="1417"/>
            <w:tcMar>
              <w:top w:w="90" w:type="dxa"/>
              <w:start w:w="90" w:type="dxa"/>
              <w:bottom w:w="90" w:type="dxa"/>
              <w:end w:w="90" w:type="dxa"/>
            </w:tcMar>
            <w:vAlign w:val="top"/>
          </w:tcPr>
          <w:p>
            <w:r>
              <w:rPr>
                <w:sz w:val="15"/>
              </w:rPr>
              <w:t>H0 Governance</w:t>
            </w:r>
          </w:p>
        </w:tc>
        <w:tc>
          <w:tcPr>
            <w:tcW w:type="dxa" w:w="2268"/>
            <w:tcMar>
              <w:top w:w="90" w:type="dxa"/>
              <w:start w:w="90" w:type="dxa"/>
              <w:bottom w:w="90" w:type="dxa"/>
              <w:end w:w="90" w:type="dxa"/>
            </w:tcMar>
            <w:vAlign w:val="top"/>
          </w:tcPr>
          <w:p>
            <w:r>
              <w:rPr>
                <w:sz w:val="15"/>
              </w:rPr>
              <w:t>SSoT, Audit und Schutzgrenzen</w:t>
            </w:r>
          </w:p>
        </w:tc>
        <w:tc>
          <w:tcPr>
            <w:tcW w:type="dxa" w:w="3742"/>
            <w:tcMar>
              <w:top w:w="90" w:type="dxa"/>
              <w:start w:w="90" w:type="dxa"/>
              <w:bottom w:w="90" w:type="dxa"/>
              <w:end w:w="90" w:type="dxa"/>
            </w:tcMar>
            <w:vAlign w:val="top"/>
          </w:tcPr>
          <w:p>
            <w:r>
              <w:rPr>
                <w:sz w:val="15"/>
              </w:rPr>
              <w:t>M1–M6, M15, Architektur-Baseline</w:t>
            </w:r>
          </w:p>
        </w:tc>
        <w:tc>
          <w:tcPr>
            <w:tcW w:type="dxa" w:w="1984"/>
            <w:tcMar>
              <w:top w:w="90" w:type="dxa"/>
              <w:start w:w="90" w:type="dxa"/>
              <w:bottom w:w="90" w:type="dxa"/>
              <w:end w:w="90" w:type="dxa"/>
            </w:tcMar>
            <w:vAlign w:val="top"/>
          </w:tcPr>
          <w:p>
            <w:r>
              <w:rPr>
                <w:sz w:val="15"/>
              </w:rPr>
              <w:t>Neue breite Features</w:t>
            </w:r>
          </w:p>
        </w:tc>
      </w:tr>
      <w:tr>
        <w:trPr>
          <w:trHeight w:hRule="atLeast"/>
        </w:trPr>
        <w:tc>
          <w:tcPr>
            <w:tcW w:type="dxa" w:w="1417"/>
            <w:tcMar>
              <w:top w:w="90" w:type="dxa"/>
              <w:start w:w="90" w:type="dxa"/>
              <w:bottom w:w="90" w:type="dxa"/>
              <w:end w:w="90" w:type="dxa"/>
            </w:tcMar>
            <w:vAlign w:val="top"/>
          </w:tcPr>
          <w:p>
            <w:r>
              <w:rPr>
                <w:sz w:val="15"/>
              </w:rPr>
              <w:t>H1 Knowledge Core</w:t>
            </w:r>
          </w:p>
        </w:tc>
        <w:tc>
          <w:tcPr>
            <w:tcW w:type="dxa" w:w="2268"/>
            <w:tcMar>
              <w:top w:w="90" w:type="dxa"/>
              <w:start w:w="90" w:type="dxa"/>
              <w:bottom w:w="90" w:type="dxa"/>
              <w:end w:w="90" w:type="dxa"/>
            </w:tcMar>
            <w:vAlign w:val="top"/>
          </w:tcPr>
          <w:p>
            <w:r>
              <w:rPr>
                <w:sz w:val="15"/>
              </w:rPr>
              <w:t>Nützlicher Wissensmodus</w:t>
            </w:r>
          </w:p>
        </w:tc>
        <w:tc>
          <w:tcPr>
            <w:tcW w:type="dxa" w:w="3742"/>
            <w:tcMar>
              <w:top w:w="90" w:type="dxa"/>
              <w:start w:w="90" w:type="dxa"/>
              <w:bottom w:w="90" w:type="dxa"/>
              <w:end w:w="90" w:type="dxa"/>
            </w:tcMar>
            <w:vAlign w:val="top"/>
          </w:tcPr>
          <w:p>
            <w:r>
              <w:rPr>
                <w:sz w:val="15"/>
              </w:rPr>
              <w:t>Geprüfte Grundlagen, RWDR/O-Ring, Werkstoffe, Eval-Gate</w:t>
            </w:r>
          </w:p>
        </w:tc>
        <w:tc>
          <w:tcPr>
            <w:tcW w:type="dxa" w:w="1984"/>
            <w:tcMar>
              <w:top w:w="90" w:type="dxa"/>
              <w:start w:w="90" w:type="dxa"/>
              <w:bottom w:w="90" w:type="dxa"/>
              <w:end w:w="90" w:type="dxa"/>
            </w:tcMar>
            <w:vAlign w:val="top"/>
          </w:tcPr>
          <w:p>
            <w:r>
              <w:rPr>
                <w:sz w:val="15"/>
              </w:rPr>
              <w:t>Vollständiger Marktplatz</w:t>
            </w:r>
          </w:p>
        </w:tc>
      </w:tr>
      <w:tr>
        <w:trPr>
          <w:trHeight w:hRule="atLeast"/>
        </w:trPr>
        <w:tc>
          <w:tcPr>
            <w:tcW w:type="dxa" w:w="1417"/>
            <w:tcMar>
              <w:top w:w="90" w:type="dxa"/>
              <w:start w:w="90" w:type="dxa"/>
              <w:bottom w:w="90" w:type="dxa"/>
              <w:end w:w="90" w:type="dxa"/>
            </w:tcMar>
            <w:vAlign w:val="top"/>
          </w:tcPr>
          <w:p>
            <w:r>
              <w:rPr>
                <w:sz w:val="15"/>
              </w:rPr>
              <w:t>H2 Case Core</w:t>
            </w:r>
          </w:p>
        </w:tc>
        <w:tc>
          <w:tcPr>
            <w:tcW w:type="dxa" w:w="2268"/>
            <w:tcMar>
              <w:top w:w="90" w:type="dxa"/>
              <w:start w:w="90" w:type="dxa"/>
              <w:bottom w:w="90" w:type="dxa"/>
              <w:end w:w="90" w:type="dxa"/>
            </w:tcMar>
            <w:vAlign w:val="top"/>
          </w:tcPr>
          <w:p>
            <w:r>
              <w:rPr>
                <w:sz w:val="15"/>
              </w:rPr>
              <w:t>Manufacturer-Ready Cases</w:t>
            </w:r>
          </w:p>
        </w:tc>
        <w:tc>
          <w:tcPr>
            <w:tcW w:type="dxa" w:w="3742"/>
            <w:tcMar>
              <w:top w:w="90" w:type="dxa"/>
              <w:start w:w="90" w:type="dxa"/>
              <w:bottom w:w="90" w:type="dxa"/>
              <w:end w:w="90" w:type="dxa"/>
            </w:tcMar>
            <w:vAlign w:val="top"/>
          </w:tcPr>
          <w:p>
            <w:r>
              <w:rPr>
                <w:sz w:val="15"/>
              </w:rPr>
              <w:t>Case State, Coverage, Briefing, Capability Profile v0, Pilot</w:t>
            </w:r>
          </w:p>
        </w:tc>
        <w:tc>
          <w:tcPr>
            <w:tcW w:type="dxa" w:w="1984"/>
            <w:tcMar>
              <w:top w:w="90" w:type="dxa"/>
              <w:start w:w="90" w:type="dxa"/>
              <w:bottom w:w="90" w:type="dxa"/>
              <w:end w:w="90" w:type="dxa"/>
            </w:tcMar>
            <w:vAlign w:val="top"/>
          </w:tcPr>
          <w:p>
            <w:r>
              <w:rPr>
                <w:sz w:val="15"/>
              </w:rPr>
              <w:t>Skalierter Produktgraph</w:t>
            </w:r>
          </w:p>
        </w:tc>
      </w:tr>
      <w:tr>
        <w:trPr>
          <w:trHeight w:hRule="atLeast"/>
        </w:trPr>
        <w:tc>
          <w:tcPr>
            <w:tcW w:type="dxa" w:w="1417"/>
            <w:tcMar>
              <w:top w:w="90" w:type="dxa"/>
              <w:start w:w="90" w:type="dxa"/>
              <w:bottom w:w="90" w:type="dxa"/>
              <w:end w:w="90" w:type="dxa"/>
            </w:tcMar>
            <w:vAlign w:val="top"/>
          </w:tcPr>
          <w:p>
            <w:r>
              <w:rPr>
                <w:sz w:val="15"/>
              </w:rPr>
              <w:t>H3 Engineering &amp; Failure</w:t>
            </w:r>
          </w:p>
        </w:tc>
        <w:tc>
          <w:tcPr>
            <w:tcW w:type="dxa" w:w="2268"/>
            <w:tcMar>
              <w:top w:w="90" w:type="dxa"/>
              <w:start w:w="90" w:type="dxa"/>
              <w:bottom w:w="90" w:type="dxa"/>
              <w:end w:w="90" w:type="dxa"/>
            </w:tcMar>
            <w:vAlign w:val="top"/>
          </w:tcPr>
          <w:p>
            <w:r>
              <w:rPr>
                <w:sz w:val="15"/>
              </w:rPr>
              <w:t>Deterministische Tools und RCA</w:t>
            </w:r>
          </w:p>
        </w:tc>
        <w:tc>
          <w:tcPr>
            <w:tcW w:type="dxa" w:w="3742"/>
            <w:tcMar>
              <w:top w:w="90" w:type="dxa"/>
              <w:start w:w="90" w:type="dxa"/>
              <w:bottom w:w="90" w:type="dxa"/>
              <w:end w:w="90" w:type="dxa"/>
            </w:tcMar>
            <w:vAlign w:val="top"/>
          </w:tcPr>
          <w:p>
            <w:r>
              <w:rPr>
                <w:sz w:val="15"/>
              </w:rPr>
              <w:t>Rechner, Vergleiche, Failure Workflows, Reviews</w:t>
            </w:r>
          </w:p>
        </w:tc>
        <w:tc>
          <w:tcPr>
            <w:tcW w:type="dxa" w:w="1984"/>
            <w:tcMar>
              <w:top w:w="90" w:type="dxa"/>
              <w:start w:w="90" w:type="dxa"/>
              <w:bottom w:w="90" w:type="dxa"/>
              <w:end w:w="90" w:type="dxa"/>
            </w:tcMar>
            <w:vAlign w:val="top"/>
          </w:tcPr>
          <w:p>
            <w:r>
              <w:rPr>
                <w:sz w:val="15"/>
              </w:rPr>
              <w:t>Unkontrollierte Automatisierung</w:t>
            </w:r>
          </w:p>
        </w:tc>
      </w:tr>
      <w:tr>
        <w:trPr>
          <w:trHeight w:hRule="atLeast"/>
        </w:trPr>
        <w:tc>
          <w:tcPr>
            <w:tcW w:type="dxa" w:w="1417"/>
            <w:tcMar>
              <w:top w:w="90" w:type="dxa"/>
              <w:start w:w="90" w:type="dxa"/>
              <w:bottom w:w="90" w:type="dxa"/>
              <w:end w:w="90" w:type="dxa"/>
            </w:tcMar>
            <w:vAlign w:val="top"/>
          </w:tcPr>
          <w:p>
            <w:r>
              <w:rPr>
                <w:sz w:val="15"/>
              </w:rPr>
              <w:t>H4 Manufacturer Network</w:t>
            </w:r>
          </w:p>
        </w:tc>
        <w:tc>
          <w:tcPr>
            <w:tcW w:type="dxa" w:w="2268"/>
            <w:tcMar>
              <w:top w:w="90" w:type="dxa"/>
              <w:start w:w="90" w:type="dxa"/>
              <w:bottom w:w="90" w:type="dxa"/>
              <w:end w:w="90" w:type="dxa"/>
            </w:tcMar>
            <w:vAlign w:val="top"/>
          </w:tcPr>
          <w:p>
            <w:r>
              <w:rPr>
                <w:sz w:val="15"/>
              </w:rPr>
              <w:t>Verifiziertes Kompetenznetzwerk</w:t>
            </w:r>
          </w:p>
        </w:tc>
        <w:tc>
          <w:tcPr>
            <w:tcW w:type="dxa" w:w="3742"/>
            <w:tcMar>
              <w:top w:w="90" w:type="dxa"/>
              <w:start w:w="90" w:type="dxa"/>
              <w:bottom w:w="90" w:type="dxa"/>
              <w:end w:w="90" w:type="dxa"/>
            </w:tcMar>
            <w:vAlign w:val="top"/>
          </w:tcPr>
          <w:p>
            <w:r>
              <w:rPr>
                <w:sz w:val="15"/>
              </w:rPr>
              <w:t>Capabilities, Produkte, RFQ, Antwortformate, Governance</w:t>
            </w:r>
          </w:p>
        </w:tc>
        <w:tc>
          <w:tcPr>
            <w:tcW w:type="dxa" w:w="1984"/>
            <w:tcMar>
              <w:top w:w="90" w:type="dxa"/>
              <w:start w:w="90" w:type="dxa"/>
              <w:bottom w:w="90" w:type="dxa"/>
              <w:end w:w="90" w:type="dxa"/>
            </w:tcMar>
            <w:vAlign w:val="top"/>
          </w:tcPr>
          <w:p>
            <w:r>
              <w:rPr>
                <w:sz w:val="15"/>
              </w:rPr>
              <w:t>Preisgetriebener Marktplatz</w:t>
            </w:r>
          </w:p>
        </w:tc>
      </w:tr>
      <w:tr>
        <w:trPr>
          <w:trHeight w:hRule="atLeast"/>
        </w:trPr>
        <w:tc>
          <w:tcPr>
            <w:tcW w:type="dxa" w:w="1417"/>
            <w:tcMar>
              <w:top w:w="90" w:type="dxa"/>
              <w:start w:w="90" w:type="dxa"/>
              <w:bottom w:w="90" w:type="dxa"/>
              <w:end w:w="90" w:type="dxa"/>
            </w:tcMar>
            <w:vAlign w:val="top"/>
          </w:tcPr>
          <w:p>
            <w:r>
              <w:rPr>
                <w:sz w:val="15"/>
              </w:rPr>
              <w:t>H5 Lifecycle</w:t>
            </w:r>
          </w:p>
        </w:tc>
        <w:tc>
          <w:tcPr>
            <w:tcW w:type="dxa" w:w="2268"/>
            <w:tcMar>
              <w:top w:w="90" w:type="dxa"/>
              <w:start w:w="90" w:type="dxa"/>
              <w:bottom w:w="90" w:type="dxa"/>
              <w:end w:w="90" w:type="dxa"/>
            </w:tcMar>
            <w:vAlign w:val="top"/>
          </w:tcPr>
          <w:p>
            <w:r>
              <w:rPr>
                <w:sz w:val="15"/>
              </w:rPr>
              <w:t>Outcome-Loop und Organisationswissen</w:t>
            </w:r>
          </w:p>
        </w:tc>
        <w:tc>
          <w:tcPr>
            <w:tcW w:type="dxa" w:w="3742"/>
            <w:tcMar>
              <w:top w:w="90" w:type="dxa"/>
              <w:start w:w="90" w:type="dxa"/>
              <w:bottom w:w="90" w:type="dxa"/>
              <w:end w:w="90" w:type="dxa"/>
            </w:tcMar>
            <w:vAlign w:val="top"/>
          </w:tcPr>
          <w:p>
            <w:r>
              <w:rPr>
                <w:sz w:val="15"/>
              </w:rPr>
              <w:t>Asset Memory, CMMS/ERP, Outcomes, Analytics</w:t>
            </w:r>
          </w:p>
        </w:tc>
        <w:tc>
          <w:tcPr>
            <w:tcW w:type="dxa" w:w="1984"/>
            <w:tcMar>
              <w:top w:w="90" w:type="dxa"/>
              <w:start w:w="90" w:type="dxa"/>
              <w:bottom w:w="90" w:type="dxa"/>
              <w:end w:w="90" w:type="dxa"/>
            </w:tcMar>
            <w:vAlign w:val="top"/>
          </w:tcPr>
          <w:p>
            <w:r>
              <w:rPr>
                <w:sz w:val="15"/>
              </w:rPr>
              <w:t>Automatische Verallgemeinerung</w:t>
            </w:r>
          </w:p>
        </w:tc>
      </w:tr>
    </w:tbl>
    <w:p/>
    <w:p>
      <w:pPr>
        <w:pStyle w:val="Heading2"/>
      </w:pPr>
      <w:r>
        <w:t>19.1 Vertikale Scheiben</w:t>
      </w:r>
    </w:p>
    <w:p>
      <w:r>
        <w:t>Die Fachentwicklung erfolgt in dieser Priorität: O-Ringe/statische Elastomere, RWDR, Hydraulik/Pneumatik, Flachdichtungen/Flanschsysteme, Gleitringdichtungen, Packungen/Kompensatoren/Spezialdichtungen.</w:t>
      </w:r>
    </w:p>
    <w:p>
      <w:r>
        <w:t>Eine Scheibe ist erst ausreichend, wenn Wissen, Werkstoffe, Medien, Engineering, Montage, Schäden, Normen, Falllogik, Herstellerfähigkeit und relevante Evaluationen gemeinsam funktionieren.</w:t>
      </w:r>
    </w:p>
    <w:p>
      <w:r>
        <w:br w:type="page"/>
      </w:r>
    </w:p>
    <w:p>
      <w:pPr>
        <w:pStyle w:val="Heading1"/>
      </w:pPr>
      <w:r>
        <w:t>20. Operating Model, Ressourcen und WIP – M11</w:t>
      </w:r>
    </w:p>
    <w:p>
      <w:r>
        <w:t>Die Vision wird gegen reale Kapazität geschnitten. Owner-provided Angaben werden als solche dokumentiert und regelmäßig aktualisiert. Ohne Kapazitätsfreigabe darf kein zusätzlicher Hauptworkstream begonnen werden.</w:t>
      </w:r>
    </w:p>
    <w:tbl>
      <w:tblPr>
        <w:tblStyle w:val="TableGrid"/>
        <w:tblW w:type="auto" w:w="0"/>
        <w:jc w:val="center"/>
        <w:tblLook w:firstColumn="1" w:firstRow="1" w:lastColumn="0" w:lastRow="0" w:noHBand="0" w:noVBand="1" w:val="04A0"/>
      </w:tblPr>
      <w:tblGrid>
        <w:gridCol w:w="4929"/>
        <w:gridCol w:w="4929"/>
      </w:tblGrid>
      <w:tr>
        <w:tc>
          <w:tcPr>
            <w:tcW w:type="dxa" w:w="1701"/>
            <w:shd w:fill="17324D"/>
            <w:tcMar>
              <w:top w:w="90" w:type="dxa"/>
              <w:start w:w="90" w:type="dxa"/>
              <w:bottom w:w="90" w:type="dxa"/>
              <w:end w:w="90" w:type="dxa"/>
            </w:tcMar>
            <w:vAlign w:val="center"/>
          </w:tcPr>
          <w:p>
            <w:pPr>
              <w:jc w:val="left"/>
            </w:pPr>
            <w:r>
              <w:rPr>
                <w:b/>
                <w:color w:val="FFFFFF"/>
                <w:sz w:val="17"/>
              </w:rPr>
              <w:t>Regel</w:t>
            </w:r>
          </w:p>
        </w:tc>
        <w:tc>
          <w:tcPr>
            <w:tcW w:type="dxa" w:w="7710"/>
            <w:shd w:fill="17324D"/>
            <w:tcMar>
              <w:top w:w="90" w:type="dxa"/>
              <w:start w:w="90" w:type="dxa"/>
              <w:bottom w:w="90" w:type="dxa"/>
              <w:end w:w="90" w:type="dxa"/>
            </w:tcMar>
            <w:vAlign w:val="center"/>
          </w:tcPr>
          <w:p>
            <w:pPr>
              <w:jc w:val="left"/>
            </w:pPr>
            <w:r>
              <w:rPr>
                <w:b/>
                <w:color w:val="FFFFFF"/>
                <w:sz w:val="17"/>
              </w:rPr>
              <w:t>Verbindliche Auslegung</w:t>
            </w:r>
          </w:p>
        </w:tc>
      </w:tr>
      <w:tr>
        <w:trPr>
          <w:trHeight w:hRule="atLeast"/>
        </w:trPr>
        <w:tc>
          <w:tcPr>
            <w:tcW w:type="dxa" w:w="1701"/>
            <w:tcMar>
              <w:top w:w="90" w:type="dxa"/>
              <w:start w:w="90" w:type="dxa"/>
              <w:bottom w:w="90" w:type="dxa"/>
              <w:end w:w="90" w:type="dxa"/>
            </w:tcMar>
            <w:vAlign w:val="top"/>
          </w:tcPr>
          <w:p>
            <w:r>
              <w:rPr>
                <w:b/>
                <w:color w:val="002A5B"/>
                <w:sz w:val="17"/>
              </w:rPr>
              <w:t>WIP-Limit</w:t>
            </w:r>
          </w:p>
        </w:tc>
        <w:tc>
          <w:tcPr>
            <w:tcW w:type="dxa" w:w="7710"/>
            <w:tcMar>
              <w:top w:w="90" w:type="dxa"/>
              <w:start w:w="90" w:type="dxa"/>
              <w:bottom w:w="90" w:type="dxa"/>
              <w:end w:w="90" w:type="dxa"/>
            </w:tcMar>
            <w:vAlign w:val="top"/>
          </w:tcPr>
          <w:p>
            <w:r>
              <w:rPr>
                <w:sz w:val="17"/>
              </w:rPr>
              <w:t>Maximal ein primärer Produkt-/Architekturworkstream und ein begleitender Content-Track.</w:t>
            </w:r>
          </w:p>
        </w:tc>
      </w:tr>
      <w:tr>
        <w:trPr>
          <w:trHeight w:hRule="atLeast"/>
        </w:trPr>
        <w:tc>
          <w:tcPr>
            <w:tcW w:type="dxa" w:w="1701"/>
            <w:tcMar>
              <w:top w:w="90" w:type="dxa"/>
              <w:start w:w="90" w:type="dxa"/>
              <w:bottom w:w="90" w:type="dxa"/>
              <w:end w:w="90" w:type="dxa"/>
            </w:tcMar>
            <w:vAlign w:val="top"/>
          </w:tcPr>
          <w:p>
            <w:r>
              <w:rPr>
                <w:b/>
                <w:color w:val="002A5B"/>
                <w:sz w:val="17"/>
              </w:rPr>
              <w:t>Scope</w:t>
            </w:r>
          </w:p>
        </w:tc>
        <w:tc>
          <w:tcPr>
            <w:tcW w:type="dxa" w:w="7710"/>
            <w:tcMar>
              <w:top w:w="90" w:type="dxa"/>
              <w:start w:w="90" w:type="dxa"/>
              <w:bottom w:w="90" w:type="dxa"/>
              <w:end w:w="90" w:type="dxa"/>
            </w:tcMar>
            <w:vAlign w:val="top"/>
          </w:tcPr>
          <w:p>
            <w:r>
              <w:rPr>
                <w:sz w:val="17"/>
              </w:rPr>
              <w:t>Jeder Horizont erhält klare Must/Should/Not-now-Listen.</w:t>
            </w:r>
          </w:p>
        </w:tc>
      </w:tr>
      <w:tr>
        <w:trPr>
          <w:trHeight w:hRule="atLeast"/>
        </w:trPr>
        <w:tc>
          <w:tcPr>
            <w:tcW w:type="dxa" w:w="1701"/>
            <w:tcMar>
              <w:top w:w="90" w:type="dxa"/>
              <w:start w:w="90" w:type="dxa"/>
              <w:bottom w:w="90" w:type="dxa"/>
              <w:end w:w="90" w:type="dxa"/>
            </w:tcMar>
            <w:vAlign w:val="top"/>
          </w:tcPr>
          <w:p>
            <w:r>
              <w:rPr>
                <w:b/>
                <w:color w:val="002A5B"/>
                <w:sz w:val="17"/>
              </w:rPr>
              <w:t>Fachreview</w:t>
            </w:r>
          </w:p>
        </w:tc>
        <w:tc>
          <w:tcPr>
            <w:tcW w:type="dxa" w:w="7710"/>
            <w:tcMar>
              <w:top w:w="90" w:type="dxa"/>
              <w:start w:w="90" w:type="dxa"/>
              <w:bottom w:w="90" w:type="dxa"/>
              <w:end w:w="90" w:type="dxa"/>
            </w:tcMar>
            <w:vAlign w:val="top"/>
          </w:tcPr>
          <w:p>
            <w:r>
              <w:rPr>
                <w:sz w:val="17"/>
              </w:rPr>
              <w:t>Kritische Claims und neue Domänen benötigen benannte Reviewkapazität.</w:t>
            </w:r>
          </w:p>
        </w:tc>
      </w:tr>
      <w:tr>
        <w:trPr>
          <w:trHeight w:hRule="atLeast"/>
        </w:trPr>
        <w:tc>
          <w:tcPr>
            <w:tcW w:type="dxa" w:w="1701"/>
            <w:tcMar>
              <w:top w:w="90" w:type="dxa"/>
              <w:start w:w="90" w:type="dxa"/>
              <w:bottom w:w="90" w:type="dxa"/>
              <w:end w:w="90" w:type="dxa"/>
            </w:tcMar>
            <w:vAlign w:val="top"/>
          </w:tcPr>
          <w:p>
            <w:r>
              <w:rPr>
                <w:b/>
                <w:color w:val="002A5B"/>
                <w:sz w:val="17"/>
              </w:rPr>
              <w:t>Build vs Buy</w:t>
            </w:r>
          </w:p>
        </w:tc>
        <w:tc>
          <w:tcPr>
            <w:tcW w:type="dxa" w:w="7710"/>
            <w:tcMar>
              <w:top w:w="90" w:type="dxa"/>
              <w:start w:w="90" w:type="dxa"/>
              <w:bottom w:w="90" w:type="dxa"/>
              <w:end w:w="90" w:type="dxa"/>
            </w:tcMar>
            <w:vAlign w:val="top"/>
          </w:tcPr>
          <w:p>
            <w:r>
              <w:rPr>
                <w:sz w:val="17"/>
              </w:rPr>
              <w:t>Commodity-Funktionen bevorzugt integrieren; Moat-Komponenten selbst kontrollieren.</w:t>
            </w:r>
          </w:p>
        </w:tc>
      </w:tr>
      <w:tr>
        <w:trPr>
          <w:trHeight w:hRule="atLeast"/>
        </w:trPr>
        <w:tc>
          <w:tcPr>
            <w:tcW w:type="dxa" w:w="1701"/>
            <w:tcMar>
              <w:top w:w="90" w:type="dxa"/>
              <w:start w:w="90" w:type="dxa"/>
              <w:bottom w:w="90" w:type="dxa"/>
              <w:end w:w="90" w:type="dxa"/>
            </w:tcMar>
            <w:vAlign w:val="top"/>
          </w:tcPr>
          <w:p>
            <w:r>
              <w:rPr>
                <w:b/>
                <w:color w:val="002A5B"/>
                <w:sz w:val="17"/>
              </w:rPr>
              <w:t>Definition of Done</w:t>
            </w:r>
          </w:p>
        </w:tc>
        <w:tc>
          <w:tcPr>
            <w:tcW w:type="dxa" w:w="7710"/>
            <w:tcMar>
              <w:top w:w="90" w:type="dxa"/>
              <w:start w:w="90" w:type="dxa"/>
              <w:bottom w:w="90" w:type="dxa"/>
              <w:end w:w="90" w:type="dxa"/>
            </w:tcMar>
            <w:vAlign w:val="top"/>
          </w:tcPr>
          <w:p>
            <w:r>
              <w:rPr>
                <w:sz w:val="17"/>
              </w:rPr>
              <w:t>Code, Tests, Eval, Dokumentation, Betrieb, Rollback und Reifegradkennzeichnung.</w:t>
            </w:r>
          </w:p>
        </w:tc>
      </w:tr>
      <w:tr>
        <w:trPr>
          <w:trHeight w:hRule="atLeast"/>
        </w:trPr>
        <w:tc>
          <w:tcPr>
            <w:tcW w:type="dxa" w:w="1701"/>
            <w:tcMar>
              <w:top w:w="90" w:type="dxa"/>
              <w:start w:w="90" w:type="dxa"/>
              <w:bottom w:w="90" w:type="dxa"/>
              <w:end w:w="90" w:type="dxa"/>
            </w:tcMar>
            <w:vAlign w:val="top"/>
          </w:tcPr>
          <w:p>
            <w:r>
              <w:rPr>
                <w:b/>
                <w:color w:val="002A5B"/>
                <w:sz w:val="17"/>
              </w:rPr>
              <w:t>Stop/Go</w:t>
            </w:r>
          </w:p>
        </w:tc>
        <w:tc>
          <w:tcPr>
            <w:tcW w:type="dxa" w:w="7710"/>
            <w:tcMar>
              <w:top w:w="90" w:type="dxa"/>
              <w:start w:w="90" w:type="dxa"/>
              <w:bottom w:w="90" w:type="dxa"/>
              <w:end w:w="90" w:type="dxa"/>
            </w:tcMar>
            <w:vAlign w:val="top"/>
          </w:tcPr>
          <w:p>
            <w:r>
              <w:rPr>
                <w:sz w:val="17"/>
              </w:rPr>
              <w:t>Keine Weiterentwicklung bei ungeklärtem Hard Gate, fehlendem Review oder negativer Pilotwirkung.</w:t>
            </w:r>
          </w:p>
        </w:tc>
      </w:tr>
      <w:tr>
        <w:trPr>
          <w:trHeight w:hRule="atLeast"/>
        </w:trPr>
        <w:tc>
          <w:tcPr>
            <w:tcW w:type="dxa" w:w="1701"/>
            <w:tcMar>
              <w:top w:w="90" w:type="dxa"/>
              <w:start w:w="90" w:type="dxa"/>
              <w:bottom w:w="90" w:type="dxa"/>
              <w:end w:w="90" w:type="dxa"/>
            </w:tcMar>
            <w:vAlign w:val="top"/>
          </w:tcPr>
          <w:p>
            <w:r>
              <w:rPr>
                <w:b/>
                <w:color w:val="002A5B"/>
                <w:sz w:val="17"/>
              </w:rPr>
              <w:t>Budget</w:t>
            </w:r>
          </w:p>
        </w:tc>
        <w:tc>
          <w:tcPr>
            <w:tcW w:type="dxa" w:w="7710"/>
            <w:tcMar>
              <w:top w:w="90" w:type="dxa"/>
              <w:start w:w="90" w:type="dxa"/>
              <w:bottom w:w="90" w:type="dxa"/>
              <w:end w:w="90" w:type="dxa"/>
            </w:tcMar>
            <w:vAlign w:val="top"/>
          </w:tcPr>
          <w:p>
            <w:r>
              <w:rPr>
                <w:sz w:val="17"/>
              </w:rPr>
              <w:t>Content-, Modell-, Infrastruktur-, Rechts- und Reviewkosten je Horizont sichtbar machen.</w:t>
            </w:r>
          </w:p>
        </w:tc>
      </w:tr>
    </w:tbl>
    <w:p/>
    <w:p>
      <w:r>
        <w:br w:type="page"/>
      </w:r>
    </w:p>
    <w:p>
      <w:pPr>
        <w:pStyle w:val="Heading1"/>
      </w:pPr>
      <w:r>
        <w:t>21. Go-to-Market, Content und Geschäftsmodell</w:t>
      </w:r>
    </w:p>
    <w:p>
      <w:pPr>
        <w:pStyle w:val="Heading2"/>
      </w:pPr>
      <w:r>
        <w:t>21.1 Markteintritt</w:t>
      </w:r>
    </w:p>
    <w:p>
      <w:r>
        <w:t>Der Markteintritt erfolgt nicht mit dem Versprechen, die gesamte Dichtungstechnik bereits vollständig abzudecken. Der erste belastbare Wedge ist die fachlich hochwertige Wissens- und Fallqualifizierung in wenigen priorisierten Dichtungsdomänen.</w:t>
      </w:r>
    </w:p>
    <w:p>
      <w:pPr>
        <w:pStyle w:val="Heading2"/>
      </w:pPr>
      <w:r>
        <w:t>21.2 Herstelleradoption – M12</w:t>
      </w:r>
    </w:p>
    <w:p>
      <w:pPr>
        <w:pStyle w:val="ListBullet"/>
        <w:spacing w:after="40"/>
      </w:pPr>
      <w:r>
        <w:t>sealingAI ersetzt nicht die Anwendungstechnik, sondern reduziert Vorqualifizierung</w:t>
      </w:r>
    </w:p>
    <w:p>
      <w:pPr>
        <w:pStyle w:val="ListBullet"/>
        <w:spacing w:after="40"/>
      </w:pPr>
      <w:r>
        <w:t>direkter Herstellerkontakt bleibt erhalten</w:t>
      </w:r>
    </w:p>
    <w:p>
      <w:pPr>
        <w:pStyle w:val="ListBullet"/>
        <w:spacing w:after="40"/>
      </w:pPr>
      <w:r>
        <w:t>keine Pflicht zur Offenlegung proprietärer Auslegungslogik</w:t>
      </w:r>
    </w:p>
    <w:p>
      <w:pPr>
        <w:pStyle w:val="ListBullet"/>
        <w:spacing w:after="40"/>
      </w:pPr>
      <w:r>
        <w:t>keine technische Bevorzugung zahlender Partner</w:t>
      </w:r>
    </w:p>
    <w:p>
      <w:pPr>
        <w:pStyle w:val="ListBullet"/>
        <w:spacing w:after="40"/>
      </w:pPr>
      <w:r>
        <w:t>kontrollierte Datenfreigaben je Fall</w:t>
      </w:r>
    </w:p>
    <w:p>
      <w:pPr>
        <w:pStyle w:val="ListBullet"/>
        <w:spacing w:after="40"/>
      </w:pPr>
      <w:r>
        <w:t>Annahme, Ablehnung und Rückfragen durch Hersteller</w:t>
      </w:r>
    </w:p>
    <w:p>
      <w:pPr>
        <w:pStyle w:val="ListBullet"/>
        <w:spacing w:after="40"/>
      </w:pPr>
      <w:r>
        <w:t>verifizierte Kompetenzen statt öffentlicher Qualitätsranglisten</w:t>
      </w:r>
    </w:p>
    <w:p>
      <w:pPr>
        <w:pStyle w:val="Heading2"/>
      </w:pPr>
      <w:r>
        <w:t>21.3 Geschäftsmodell</w:t>
      </w:r>
    </w:p>
    <w:p>
      <w:pPr>
        <w:pStyle w:val="ListBullet"/>
        <w:spacing w:after="40"/>
      </w:pPr>
      <w:r>
        <w:t>Nutzer-/Teamabonnements für Workspace, Organisation und Integrationen</w:t>
      </w:r>
    </w:p>
    <w:p>
      <w:pPr>
        <w:pStyle w:val="ListBullet"/>
        <w:spacing w:after="40"/>
      </w:pPr>
      <w:r>
        <w:t>Herstellerabonnements für Fallmanagement, Profile, Collaboration und Analytics</w:t>
      </w:r>
    </w:p>
    <w:p>
      <w:pPr>
        <w:pStyle w:val="ListBullet"/>
        <w:spacing w:after="40"/>
      </w:pPr>
      <w:r>
        <w:t>Enterprise-Wissensräume und API</w:t>
      </w:r>
    </w:p>
    <w:p>
      <w:pPr>
        <w:pStyle w:val="ListBullet"/>
        <w:spacing w:after="40"/>
      </w:pPr>
      <w:r>
        <w:t>Expert Review und Implementierungsleistungen</w:t>
      </w:r>
    </w:p>
    <w:p>
      <w:pPr>
        <w:pStyle w:val="ListBullet"/>
        <w:spacing w:after="40"/>
      </w:pPr>
      <w:r>
        <w:t>keine Monetarisierung durch käuflichen technischen Rangplatz</w:t>
      </w:r>
    </w:p>
    <w:p>
      <w:pPr>
        <w:pStyle w:val="Heading2"/>
      </w:pPr>
      <w:r>
        <w:t>21.4 GTM- und Content-Plan – M13</w:t>
      </w:r>
    </w:p>
    <w:p>
      <w:r>
        <w:t>Ein separates ausführbares GTM-Dokument definiert ICP, Pilotakquise, direkte Ansprache, Verbände, Fachcontent, Suchstrategie, Events, Sprache, Preisexperimente, Budget, Runway und Kill-/Pivot-Kriterien. SEO ist ein Kanal, nicht der alleinige Markteintritt.</w:t>
      </w:r>
    </w:p>
    <w:p>
      <w:r>
        <w:br w:type="page"/>
      </w:r>
    </w:p>
    <w:p>
      <w:pPr>
        <w:pStyle w:val="Heading1"/>
      </w:pPr>
      <w:r>
        <w:t>22. Governance, Reviews und Änderungen</w:t>
      </w:r>
    </w:p>
    <w:p>
      <w:pPr>
        <w:pStyle w:val="Heading2"/>
      </w:pPr>
      <w:r>
        <w:t>22.1 Owner-Decision-Register – M6</w:t>
      </w:r>
    </w:p>
    <w:p>
      <w:r>
        <w:t>Alle strategischen Forks werden als formale Entscheidungen dokumentiert. Die folgenden Entscheidungen sind mit dieser SSoT ratifiziert:</w:t>
      </w:r>
    </w:p>
    <w:tbl>
      <w:tblPr>
        <w:tblStyle w:val="TableGrid"/>
        <w:tblW w:type="auto" w:w="0"/>
        <w:jc w:val="center"/>
        <w:tblLook w:firstColumn="1" w:firstRow="1" w:lastColumn="0" w:lastRow="0" w:noHBand="0" w:noVBand="1" w:val="04A0"/>
      </w:tblPr>
      <w:tblGrid>
        <w:gridCol w:w="4929"/>
        <w:gridCol w:w="4929"/>
      </w:tblGrid>
      <w:tr>
        <w:tc>
          <w:tcPr>
            <w:tcW w:type="dxa" w:w="4929"/>
            <w:shd w:fill="17324D"/>
            <w:tcMar>
              <w:top w:w="110" w:type="dxa"/>
              <w:start w:w="120" w:type="dxa"/>
              <w:bottom w:w="110" w:type="dxa"/>
              <w:end w:w="120" w:type="dxa"/>
            </w:tcMar>
          </w:tcPr>
          <w:p>
            <w:r>
              <w:rPr>
                <w:b/>
                <w:color w:val="FFFFFF"/>
                <w:sz w:val="17"/>
              </w:rPr>
              <w:t>ODR-01 · Entscheidung</w:t>
            </w:r>
          </w:p>
        </w:tc>
        <w:tc>
          <w:tcPr>
            <w:tcW w:type="dxa" w:w="4929"/>
            <w:shd w:fill="17324D"/>
            <w:tcMar>
              <w:top w:w="110" w:type="dxa"/>
              <w:start w:w="120" w:type="dxa"/>
              <w:bottom w:w="110" w:type="dxa"/>
              <w:end w:w="120" w:type="dxa"/>
            </w:tcMar>
          </w:tcPr>
          <w:p>
            <w:r>
              <w:rPr>
                <w:b/>
                <w:color w:val="FFFFFF"/>
                <w:sz w:val="17"/>
              </w:rPr>
              <w:t>Plattformmodell</w:t>
            </w:r>
          </w:p>
        </w:tc>
      </w:tr>
      <w:tr>
        <w:tc>
          <w:tcPr>
            <w:tcW w:type="dxa" w:w="4929"/>
            <w:shd w:fill="D6E4F0"/>
            <w:tcMar>
              <w:top w:w="110" w:type="dxa"/>
              <w:start w:w="120" w:type="dxa"/>
              <w:bottom w:w="110" w:type="dxa"/>
              <w:end w:w="120" w:type="dxa"/>
            </w:tcMar>
          </w:tcPr>
          <w:p>
            <w:r>
              <w:rPr>
                <w:b/>
                <w:color w:val="002A5B"/>
                <w:sz w:val="17"/>
              </w:rPr>
              <w:t>Beschluss</w:t>
            </w:r>
          </w:p>
        </w:tc>
        <w:tc>
          <w:tcPr>
            <w:tcW w:type="dxa" w:w="4929"/>
            <w:shd w:fill="EAF2F8"/>
            <w:tcMar>
              <w:top w:w="110" w:type="dxa"/>
              <w:start w:w="120" w:type="dxa"/>
              <w:bottom w:w="110" w:type="dxa"/>
              <w:end w:w="120" w:type="dxa"/>
            </w:tcMar>
          </w:tcPr>
          <w:p>
            <w:r>
              <w:rPr>
                <w:sz w:val="17"/>
              </w:rPr>
              <w:t>Neutrale Wissens-, Engineering- und Fallplattform mit optionaler Herstellerübergabe; kein preisgetriebener Marktplatz.</w:t>
            </w:r>
          </w:p>
        </w:tc>
      </w:tr>
      <w:tr>
        <w:tc>
          <w:tcPr>
            <w:tcW w:type="dxa" w:w="4929"/>
            <w:shd w:fill="D6E4F0"/>
            <w:tcMar>
              <w:top w:w="110" w:type="dxa"/>
              <w:start w:w="120" w:type="dxa"/>
              <w:bottom w:w="110" w:type="dxa"/>
              <w:end w:w="120" w:type="dxa"/>
            </w:tcMar>
          </w:tcPr>
          <w:p>
            <w:r>
              <w:rPr>
                <w:b/>
                <w:color w:val="002A5B"/>
                <w:sz w:val="17"/>
              </w:rPr>
              <w:t>Begründung</w:t>
            </w:r>
          </w:p>
        </w:tc>
        <w:tc>
          <w:tcPr>
            <w:tcW w:type="dxa" w:w="4929"/>
            <w:shd w:fill="EAF2F8"/>
            <w:tcMar>
              <w:top w:w="110" w:type="dxa"/>
              <w:start w:w="120" w:type="dxa"/>
              <w:bottom w:w="110" w:type="dxa"/>
              <w:end w:w="120" w:type="dxa"/>
            </w:tcMar>
          </w:tcPr>
          <w:p>
            <w:r>
              <w:rPr>
                <w:sz w:val="17"/>
              </w:rPr>
              <w:t>Vertrauen, technische Qualität und Herstellerbeziehung haben Vorrang vor Transaktionsoptimierung.</w:t>
            </w:r>
          </w:p>
        </w:tc>
      </w:tr>
      <w:tr>
        <w:tc>
          <w:tcPr>
            <w:tcW w:type="dxa" w:w="4929"/>
            <w:shd w:fill="D6E4F0"/>
            <w:tcMar>
              <w:top w:w="110" w:type="dxa"/>
              <w:start w:w="120" w:type="dxa"/>
              <w:bottom w:w="110" w:type="dxa"/>
              <w:end w:w="120" w:type="dxa"/>
            </w:tcMar>
          </w:tcPr>
          <w:p>
            <w:r>
              <w:rPr>
                <w:b/>
                <w:color w:val="002A5B"/>
                <w:sz w:val="17"/>
              </w:rPr>
              <w:t>Konsequenz</w:t>
            </w:r>
          </w:p>
        </w:tc>
        <w:tc>
          <w:tcPr>
            <w:tcW w:type="dxa" w:w="4929"/>
            <w:shd w:fill="EAF2F8"/>
            <w:tcMar>
              <w:top w:w="110" w:type="dxa"/>
              <w:start w:w="120" w:type="dxa"/>
              <w:bottom w:w="110" w:type="dxa"/>
              <w:end w:w="120" w:type="dxa"/>
            </w:tcMar>
          </w:tcPr>
          <w:p>
            <w:r>
              <w:rPr>
                <w:sz w:val="17"/>
              </w:rPr>
              <w:t>Technischer Fit bleibt unabhängig von Monetarisierung.</w:t>
            </w:r>
          </w:p>
        </w:tc>
      </w:tr>
    </w:tbl>
    <w:p/>
    <w:tbl>
      <w:tblPr>
        <w:tblStyle w:val="TableGrid"/>
        <w:tblW w:type="auto" w:w="0"/>
        <w:jc w:val="center"/>
        <w:tblLook w:firstColumn="1" w:firstRow="1" w:lastColumn="0" w:lastRow="0" w:noHBand="0" w:noVBand="1" w:val="04A0"/>
      </w:tblPr>
      <w:tblGrid>
        <w:gridCol w:w="4929"/>
        <w:gridCol w:w="4929"/>
      </w:tblGrid>
      <w:tr>
        <w:tc>
          <w:tcPr>
            <w:tcW w:type="dxa" w:w="4929"/>
            <w:shd w:fill="17324D"/>
            <w:tcMar>
              <w:top w:w="110" w:type="dxa"/>
              <w:start w:w="120" w:type="dxa"/>
              <w:bottom w:w="110" w:type="dxa"/>
              <w:end w:w="120" w:type="dxa"/>
            </w:tcMar>
          </w:tcPr>
          <w:p>
            <w:r>
              <w:rPr>
                <w:b/>
                <w:color w:val="FFFFFF"/>
                <w:sz w:val="17"/>
              </w:rPr>
              <w:t>ODR-02 · Entscheidung</w:t>
            </w:r>
          </w:p>
        </w:tc>
        <w:tc>
          <w:tcPr>
            <w:tcW w:type="dxa" w:w="4929"/>
            <w:shd w:fill="17324D"/>
            <w:tcMar>
              <w:top w:w="110" w:type="dxa"/>
              <w:start w:w="120" w:type="dxa"/>
              <w:bottom w:w="110" w:type="dxa"/>
              <w:end w:w="120" w:type="dxa"/>
            </w:tcMar>
          </w:tcPr>
          <w:p>
            <w:r>
              <w:rPr>
                <w:b/>
                <w:color w:val="FFFFFF"/>
                <w:sz w:val="17"/>
              </w:rPr>
              <w:t>Wissensmodus</w:t>
            </w:r>
          </w:p>
        </w:tc>
      </w:tr>
      <w:tr>
        <w:tc>
          <w:tcPr>
            <w:tcW w:type="dxa" w:w="4929"/>
            <w:shd w:fill="D6E4F0"/>
            <w:tcMar>
              <w:top w:w="110" w:type="dxa"/>
              <w:start w:w="120" w:type="dxa"/>
              <w:bottom w:w="110" w:type="dxa"/>
              <w:end w:w="120" w:type="dxa"/>
            </w:tcMar>
          </w:tcPr>
          <w:p>
            <w:r>
              <w:rPr>
                <w:b/>
                <w:color w:val="002A5B"/>
                <w:sz w:val="17"/>
              </w:rPr>
              <w:t>Beschluss</w:t>
            </w:r>
          </w:p>
        </w:tc>
        <w:tc>
          <w:tcPr>
            <w:tcW w:type="dxa" w:w="4929"/>
            <w:shd w:fill="EAF2F8"/>
            <w:tcMar>
              <w:top w:w="110" w:type="dxa"/>
              <w:start w:w="120" w:type="dxa"/>
              <w:bottom w:w="110" w:type="dxa"/>
              <w:end w:w="120" w:type="dxa"/>
            </w:tcMar>
          </w:tcPr>
          <w:p>
            <w:r>
              <w:rPr>
                <w:sz w:val="17"/>
              </w:rPr>
              <w:t>Allgemeine Dichtungsfragen gehören zum Produkt, werden aber nur über M15 evaluiert und aktiviert.</w:t>
            </w:r>
          </w:p>
        </w:tc>
      </w:tr>
      <w:tr>
        <w:tc>
          <w:tcPr>
            <w:tcW w:type="dxa" w:w="4929"/>
            <w:shd w:fill="D6E4F0"/>
            <w:tcMar>
              <w:top w:w="110" w:type="dxa"/>
              <w:start w:w="120" w:type="dxa"/>
              <w:bottom w:w="110" w:type="dxa"/>
              <w:end w:w="120" w:type="dxa"/>
            </w:tcMar>
          </w:tcPr>
          <w:p>
            <w:r>
              <w:rPr>
                <w:b/>
                <w:color w:val="002A5B"/>
                <w:sz w:val="17"/>
              </w:rPr>
              <w:t>Begründung</w:t>
            </w:r>
          </w:p>
        </w:tc>
        <w:tc>
          <w:tcPr>
            <w:tcW w:type="dxa" w:w="4929"/>
            <w:shd w:fill="EAF2F8"/>
            <w:tcMar>
              <w:top w:w="110" w:type="dxa"/>
              <w:start w:w="120" w:type="dxa"/>
              <w:bottom w:w="110" w:type="dxa"/>
              <w:end w:w="120" w:type="dxa"/>
            </w:tcMar>
          </w:tcPr>
          <w:p>
            <w:r>
              <w:rPr>
                <w:sz w:val="17"/>
              </w:rPr>
              <w:t>Früher Nutzerwert und 360°-Vision ohne unkontrollierte Scope-Erweiterung.</w:t>
            </w:r>
          </w:p>
        </w:tc>
      </w:tr>
      <w:tr>
        <w:tc>
          <w:tcPr>
            <w:tcW w:type="dxa" w:w="4929"/>
            <w:shd w:fill="D6E4F0"/>
            <w:tcMar>
              <w:top w:w="110" w:type="dxa"/>
              <w:start w:w="120" w:type="dxa"/>
              <w:bottom w:w="110" w:type="dxa"/>
              <w:end w:w="120" w:type="dxa"/>
            </w:tcMar>
          </w:tcPr>
          <w:p>
            <w:r>
              <w:rPr>
                <w:b/>
                <w:color w:val="002A5B"/>
                <w:sz w:val="17"/>
              </w:rPr>
              <w:t>Konsequenz</w:t>
            </w:r>
          </w:p>
        </w:tc>
        <w:tc>
          <w:tcPr>
            <w:tcW w:type="dxa" w:w="4929"/>
            <w:shd w:fill="EAF2F8"/>
            <w:tcMar>
              <w:top w:w="110" w:type="dxa"/>
              <w:start w:w="120" w:type="dxa"/>
              <w:bottom w:w="110" w:type="dxa"/>
              <w:end w:w="120" w:type="dxa"/>
            </w:tcMar>
          </w:tcPr>
          <w:p>
            <w:r>
              <w:rPr>
                <w:sz w:val="17"/>
              </w:rPr>
              <w:t>Feature Flag, Referenzset und Hard Gates sind Pflicht.</w:t>
            </w:r>
          </w:p>
        </w:tc>
      </w:tr>
    </w:tbl>
    <w:p/>
    <w:tbl>
      <w:tblPr>
        <w:tblStyle w:val="TableGrid"/>
        <w:tblW w:type="auto" w:w="0"/>
        <w:jc w:val="center"/>
        <w:tblLook w:firstColumn="1" w:firstRow="1" w:lastColumn="0" w:lastRow="0" w:noHBand="0" w:noVBand="1" w:val="04A0"/>
      </w:tblPr>
      <w:tblGrid>
        <w:gridCol w:w="4929"/>
        <w:gridCol w:w="4929"/>
      </w:tblGrid>
      <w:tr>
        <w:tc>
          <w:tcPr>
            <w:tcW w:type="dxa" w:w="4929"/>
            <w:shd w:fill="17324D"/>
            <w:tcMar>
              <w:top w:w="110" w:type="dxa"/>
              <w:start w:w="120" w:type="dxa"/>
              <w:bottom w:w="110" w:type="dxa"/>
              <w:end w:w="120" w:type="dxa"/>
            </w:tcMar>
          </w:tcPr>
          <w:p>
            <w:r>
              <w:rPr>
                <w:b/>
                <w:color w:val="FFFFFF"/>
                <w:sz w:val="17"/>
              </w:rPr>
              <w:t>ODR-03 · Entscheidung</w:t>
            </w:r>
          </w:p>
        </w:tc>
        <w:tc>
          <w:tcPr>
            <w:tcW w:type="dxa" w:w="4929"/>
            <w:shd w:fill="17324D"/>
            <w:tcMar>
              <w:top w:w="110" w:type="dxa"/>
              <w:start w:w="120" w:type="dxa"/>
              <w:bottom w:w="110" w:type="dxa"/>
              <w:end w:w="120" w:type="dxa"/>
            </w:tcMar>
          </w:tcPr>
          <w:p>
            <w:r>
              <w:rPr>
                <w:b/>
                <w:color w:val="FFFFFF"/>
                <w:sz w:val="17"/>
              </w:rPr>
              <w:t>360°</w:t>
            </w:r>
          </w:p>
        </w:tc>
      </w:tr>
      <w:tr>
        <w:tc>
          <w:tcPr>
            <w:tcW w:type="dxa" w:w="4929"/>
            <w:shd w:fill="D6E4F0"/>
            <w:tcMar>
              <w:top w:w="110" w:type="dxa"/>
              <w:start w:w="120" w:type="dxa"/>
              <w:bottom w:w="110" w:type="dxa"/>
              <w:end w:w="120" w:type="dxa"/>
            </w:tcMar>
          </w:tcPr>
          <w:p>
            <w:r>
              <w:rPr>
                <w:b/>
                <w:color w:val="002A5B"/>
                <w:sz w:val="17"/>
              </w:rPr>
              <w:t>Beschluss</w:t>
            </w:r>
          </w:p>
        </w:tc>
        <w:tc>
          <w:tcPr>
            <w:tcW w:type="dxa" w:w="4929"/>
            <w:shd w:fill="EAF2F8"/>
            <w:tcMar>
              <w:top w:w="110" w:type="dxa"/>
              <w:start w:w="120" w:type="dxa"/>
              <w:bottom w:w="110" w:type="dxa"/>
              <w:end w:w="120" w:type="dxa"/>
            </w:tcMar>
          </w:tcPr>
          <w:p>
            <w:r>
              <w:rPr>
                <w:sz w:val="17"/>
              </w:rPr>
              <w:t>360° ist Zielarchitektur und Lifecycle-Vision, nicht heutiger Vollständigkeitsclaim.</w:t>
            </w:r>
          </w:p>
        </w:tc>
      </w:tr>
      <w:tr>
        <w:tc>
          <w:tcPr>
            <w:tcW w:type="dxa" w:w="4929"/>
            <w:shd w:fill="D6E4F0"/>
            <w:tcMar>
              <w:top w:w="110" w:type="dxa"/>
              <w:start w:w="120" w:type="dxa"/>
              <w:bottom w:w="110" w:type="dxa"/>
              <w:end w:w="120" w:type="dxa"/>
            </w:tcMar>
          </w:tcPr>
          <w:p>
            <w:r>
              <w:rPr>
                <w:b/>
                <w:color w:val="002A5B"/>
                <w:sz w:val="17"/>
              </w:rPr>
              <w:t>Begründung</w:t>
            </w:r>
          </w:p>
        </w:tc>
        <w:tc>
          <w:tcPr>
            <w:tcW w:type="dxa" w:w="4929"/>
            <w:shd w:fill="EAF2F8"/>
            <w:tcMar>
              <w:top w:w="110" w:type="dxa"/>
              <w:start w:w="120" w:type="dxa"/>
              <w:bottom w:w="110" w:type="dxa"/>
              <w:end w:w="120" w:type="dxa"/>
            </w:tcMar>
          </w:tcPr>
          <w:p>
            <w:r>
              <w:rPr>
                <w:sz w:val="17"/>
              </w:rPr>
              <w:t>Verhindert Overclaim und ermöglicht Depth-first-Ausbau.</w:t>
            </w:r>
          </w:p>
        </w:tc>
      </w:tr>
      <w:tr>
        <w:tc>
          <w:tcPr>
            <w:tcW w:type="dxa" w:w="4929"/>
            <w:shd w:fill="D6E4F0"/>
            <w:tcMar>
              <w:top w:w="110" w:type="dxa"/>
              <w:start w:w="120" w:type="dxa"/>
              <w:bottom w:w="110" w:type="dxa"/>
              <w:end w:w="120" w:type="dxa"/>
            </w:tcMar>
          </w:tcPr>
          <w:p>
            <w:r>
              <w:rPr>
                <w:b/>
                <w:color w:val="002A5B"/>
                <w:sz w:val="17"/>
              </w:rPr>
              <w:t>Konsequenz</w:t>
            </w:r>
          </w:p>
        </w:tc>
        <w:tc>
          <w:tcPr>
            <w:tcW w:type="dxa" w:w="4929"/>
            <w:shd w:fill="EAF2F8"/>
            <w:tcMar>
              <w:top w:w="110" w:type="dxa"/>
              <w:start w:w="120" w:type="dxa"/>
              <w:bottom w:w="110" w:type="dxa"/>
              <w:end w:w="120" w:type="dxa"/>
            </w:tcMar>
          </w:tcPr>
          <w:p>
            <w:r>
              <w:rPr>
                <w:sz w:val="17"/>
              </w:rPr>
              <w:t>Reifegradkennzeichnung auf allen Oberflächen.</w:t>
            </w:r>
          </w:p>
        </w:tc>
      </w:tr>
    </w:tbl>
    <w:p/>
    <w:tbl>
      <w:tblPr>
        <w:tblStyle w:val="TableGrid"/>
        <w:tblW w:type="auto" w:w="0"/>
        <w:jc w:val="center"/>
        <w:tblLook w:firstColumn="1" w:firstRow="1" w:lastColumn="0" w:lastRow="0" w:noHBand="0" w:noVBand="1" w:val="04A0"/>
      </w:tblPr>
      <w:tblGrid>
        <w:gridCol w:w="4929"/>
        <w:gridCol w:w="4929"/>
      </w:tblGrid>
      <w:tr>
        <w:tc>
          <w:tcPr>
            <w:tcW w:type="dxa" w:w="4929"/>
            <w:shd w:fill="17324D"/>
            <w:tcMar>
              <w:top w:w="110" w:type="dxa"/>
              <w:start w:w="120" w:type="dxa"/>
              <w:bottom w:w="110" w:type="dxa"/>
              <w:end w:w="120" w:type="dxa"/>
            </w:tcMar>
          </w:tcPr>
          <w:p>
            <w:r>
              <w:rPr>
                <w:b/>
                <w:color w:val="FFFFFF"/>
                <w:sz w:val="17"/>
              </w:rPr>
              <w:t>ODR-04 · Entscheidung</w:t>
            </w:r>
          </w:p>
        </w:tc>
        <w:tc>
          <w:tcPr>
            <w:tcW w:type="dxa" w:w="4929"/>
            <w:shd w:fill="17324D"/>
            <w:tcMar>
              <w:top w:w="110" w:type="dxa"/>
              <w:start w:w="120" w:type="dxa"/>
              <w:bottom w:w="110" w:type="dxa"/>
              <w:end w:w="120" w:type="dxa"/>
            </w:tcMar>
          </w:tcPr>
          <w:p>
            <w:r>
              <w:rPr>
                <w:b/>
                <w:color w:val="FFFFFF"/>
                <w:sz w:val="17"/>
              </w:rPr>
              <w:t>Operativer Claim</w:t>
            </w:r>
          </w:p>
        </w:tc>
      </w:tr>
      <w:tr>
        <w:tc>
          <w:tcPr>
            <w:tcW w:type="dxa" w:w="4929"/>
            <w:shd w:fill="D6E4F0"/>
            <w:tcMar>
              <w:top w:w="110" w:type="dxa"/>
              <w:start w:w="120" w:type="dxa"/>
              <w:bottom w:w="110" w:type="dxa"/>
              <w:end w:w="120" w:type="dxa"/>
            </w:tcMar>
          </w:tcPr>
          <w:p>
            <w:r>
              <w:rPr>
                <w:b/>
                <w:color w:val="002A5B"/>
                <w:sz w:val="17"/>
              </w:rPr>
              <w:t>Beschluss</w:t>
            </w:r>
          </w:p>
        </w:tc>
        <w:tc>
          <w:tcPr>
            <w:tcW w:type="dxa" w:w="4929"/>
            <w:shd w:fill="EAF2F8"/>
            <w:tcMar>
              <w:top w:w="110" w:type="dxa"/>
              <w:start w:w="120" w:type="dxa"/>
              <w:bottom w:w="110" w:type="dxa"/>
              <w:end w:w="120" w:type="dxa"/>
            </w:tcMar>
          </w:tcPr>
          <w:p>
            <w:r>
              <w:rPr>
                <w:sz w:val="17"/>
              </w:rPr>
              <w:t>Dichtungstechnik. Von der Frage zur prüfbaren Entscheidung.</w:t>
            </w:r>
          </w:p>
        </w:tc>
      </w:tr>
      <w:tr>
        <w:tc>
          <w:tcPr>
            <w:tcW w:type="dxa" w:w="4929"/>
            <w:shd w:fill="D6E4F0"/>
            <w:tcMar>
              <w:top w:w="110" w:type="dxa"/>
              <w:start w:w="120" w:type="dxa"/>
              <w:bottom w:w="110" w:type="dxa"/>
              <w:end w:w="120" w:type="dxa"/>
            </w:tcMar>
          </w:tcPr>
          <w:p>
            <w:r>
              <w:rPr>
                <w:b/>
                <w:color w:val="002A5B"/>
                <w:sz w:val="17"/>
              </w:rPr>
              <w:t>Begründung</w:t>
            </w:r>
          </w:p>
        </w:tc>
        <w:tc>
          <w:tcPr>
            <w:tcW w:type="dxa" w:w="4929"/>
            <w:shd w:fill="EAF2F8"/>
            <w:tcMar>
              <w:top w:w="110" w:type="dxa"/>
              <w:start w:w="120" w:type="dxa"/>
              <w:bottom w:w="110" w:type="dxa"/>
              <w:end w:w="120" w:type="dxa"/>
            </w:tcMar>
          </w:tcPr>
          <w:p>
            <w:r>
              <w:rPr>
                <w:sz w:val="17"/>
              </w:rPr>
              <w:t>Heute belastbar, merkfähig und deckungsgleich mit dem Kern-USP.</w:t>
            </w:r>
          </w:p>
        </w:tc>
      </w:tr>
      <w:tr>
        <w:tc>
          <w:tcPr>
            <w:tcW w:type="dxa" w:w="4929"/>
            <w:shd w:fill="D6E4F0"/>
            <w:tcMar>
              <w:top w:w="110" w:type="dxa"/>
              <w:start w:w="120" w:type="dxa"/>
              <w:bottom w:w="110" w:type="dxa"/>
              <w:end w:w="120" w:type="dxa"/>
            </w:tcMar>
          </w:tcPr>
          <w:p>
            <w:r>
              <w:rPr>
                <w:b/>
                <w:color w:val="002A5B"/>
                <w:sz w:val="17"/>
              </w:rPr>
              <w:t>Konsequenz</w:t>
            </w:r>
          </w:p>
        </w:tc>
        <w:tc>
          <w:tcPr>
            <w:tcW w:type="dxa" w:w="4929"/>
            <w:shd w:fill="EAF2F8"/>
            <w:tcMar>
              <w:top w:w="110" w:type="dxa"/>
              <w:start w:w="120" w:type="dxa"/>
              <w:bottom w:w="110" w:type="dxa"/>
              <w:end w:w="120" w:type="dxa"/>
            </w:tcMar>
          </w:tcPr>
          <w:p>
            <w:r>
              <w:rPr>
                <w:sz w:val="17"/>
              </w:rPr>
              <w:t>Lifecycle-Claim bleibt Vision bis Outcome-Beleg.</w:t>
            </w:r>
          </w:p>
        </w:tc>
      </w:tr>
    </w:tbl>
    <w:p/>
    <w:tbl>
      <w:tblPr>
        <w:tblStyle w:val="TableGrid"/>
        <w:tblW w:type="auto" w:w="0"/>
        <w:jc w:val="center"/>
        <w:tblLook w:firstColumn="1" w:firstRow="1" w:lastColumn="0" w:lastRow="0" w:noHBand="0" w:noVBand="1" w:val="04A0"/>
      </w:tblPr>
      <w:tblGrid>
        <w:gridCol w:w="4929"/>
        <w:gridCol w:w="4929"/>
      </w:tblGrid>
      <w:tr>
        <w:tc>
          <w:tcPr>
            <w:tcW w:type="dxa" w:w="4929"/>
            <w:shd w:fill="17324D"/>
            <w:tcMar>
              <w:top w:w="110" w:type="dxa"/>
              <w:start w:w="120" w:type="dxa"/>
              <w:bottom w:w="110" w:type="dxa"/>
              <w:end w:w="120" w:type="dxa"/>
            </w:tcMar>
          </w:tcPr>
          <w:p>
            <w:r>
              <w:rPr>
                <w:b/>
                <w:color w:val="FFFFFF"/>
                <w:sz w:val="17"/>
              </w:rPr>
              <w:t>ODR-05 · Entscheidung</w:t>
            </w:r>
          </w:p>
        </w:tc>
        <w:tc>
          <w:tcPr>
            <w:tcW w:type="dxa" w:w="4929"/>
            <w:shd w:fill="17324D"/>
            <w:tcMar>
              <w:top w:w="110" w:type="dxa"/>
              <w:start w:w="120" w:type="dxa"/>
              <w:bottom w:w="110" w:type="dxa"/>
              <w:end w:w="120" w:type="dxa"/>
            </w:tcMar>
          </w:tcPr>
          <w:p>
            <w:r>
              <w:rPr>
                <w:b/>
                <w:color w:val="FFFFFF"/>
                <w:sz w:val="17"/>
              </w:rPr>
              <w:t>Trust-Claim</w:t>
            </w:r>
          </w:p>
        </w:tc>
      </w:tr>
      <w:tr>
        <w:tc>
          <w:tcPr>
            <w:tcW w:type="dxa" w:w="4929"/>
            <w:shd w:fill="D6E4F0"/>
            <w:tcMar>
              <w:top w:w="110" w:type="dxa"/>
              <w:start w:w="120" w:type="dxa"/>
              <w:bottom w:w="110" w:type="dxa"/>
              <w:end w:w="120" w:type="dxa"/>
            </w:tcMar>
          </w:tcPr>
          <w:p>
            <w:r>
              <w:rPr>
                <w:b/>
                <w:color w:val="002A5B"/>
                <w:sz w:val="17"/>
              </w:rPr>
              <w:t>Beschluss</w:t>
            </w:r>
          </w:p>
        </w:tc>
        <w:tc>
          <w:tcPr>
            <w:tcW w:type="dxa" w:w="4929"/>
            <w:shd w:fill="EAF2F8"/>
            <w:tcMar>
              <w:top w:w="110" w:type="dxa"/>
              <w:start w:w="120" w:type="dxa"/>
              <w:bottom w:w="110" w:type="dxa"/>
              <w:end w:w="120" w:type="dxa"/>
            </w:tcMar>
          </w:tcPr>
          <w:p>
            <w:r>
              <w:rPr>
                <w:sz w:val="17"/>
              </w:rPr>
              <w:t>Vollständigkeit vor Empfehlung. Quellen vor Behauptung. Freigabe vor Einsatz.</w:t>
            </w:r>
          </w:p>
        </w:tc>
      </w:tr>
      <w:tr>
        <w:tc>
          <w:tcPr>
            <w:tcW w:type="dxa" w:w="4929"/>
            <w:shd w:fill="D6E4F0"/>
            <w:tcMar>
              <w:top w:w="110" w:type="dxa"/>
              <w:start w:w="120" w:type="dxa"/>
              <w:bottom w:w="110" w:type="dxa"/>
              <w:end w:w="120" w:type="dxa"/>
            </w:tcMar>
          </w:tcPr>
          <w:p>
            <w:r>
              <w:rPr>
                <w:b/>
                <w:color w:val="002A5B"/>
                <w:sz w:val="17"/>
              </w:rPr>
              <w:t>Begründung</w:t>
            </w:r>
          </w:p>
        </w:tc>
        <w:tc>
          <w:tcPr>
            <w:tcW w:type="dxa" w:w="4929"/>
            <w:shd w:fill="EAF2F8"/>
            <w:tcMar>
              <w:top w:w="110" w:type="dxa"/>
              <w:start w:w="120" w:type="dxa"/>
              <w:bottom w:w="110" w:type="dxa"/>
              <w:end w:w="120" w:type="dxa"/>
            </w:tcMar>
          </w:tcPr>
          <w:p>
            <w:r>
              <w:rPr>
                <w:sz w:val="17"/>
              </w:rPr>
              <w:t>Starkes, etabliertes Vertrauensversprechen.</w:t>
            </w:r>
          </w:p>
        </w:tc>
      </w:tr>
      <w:tr>
        <w:tc>
          <w:tcPr>
            <w:tcW w:type="dxa" w:w="4929"/>
            <w:shd w:fill="D6E4F0"/>
            <w:tcMar>
              <w:top w:w="110" w:type="dxa"/>
              <w:start w:w="120" w:type="dxa"/>
              <w:bottom w:w="110" w:type="dxa"/>
              <w:end w:w="120" w:type="dxa"/>
            </w:tcMar>
          </w:tcPr>
          <w:p>
            <w:r>
              <w:rPr>
                <w:b/>
                <w:color w:val="002A5B"/>
                <w:sz w:val="17"/>
              </w:rPr>
              <w:t>Konsequenz</w:t>
            </w:r>
          </w:p>
        </w:tc>
        <w:tc>
          <w:tcPr>
            <w:tcW w:type="dxa" w:w="4929"/>
            <w:shd w:fill="EAF2F8"/>
            <w:tcMar>
              <w:top w:w="110" w:type="dxa"/>
              <w:start w:w="120" w:type="dxa"/>
              <w:bottom w:w="110" w:type="dxa"/>
              <w:end w:w="120" w:type="dxa"/>
            </w:tcMar>
          </w:tcPr>
          <w:p>
            <w:r>
              <w:rPr>
                <w:sz w:val="17"/>
              </w:rPr>
              <w:t>Alternative Claims benötigen neue Owner-Entscheidung.</w:t>
            </w:r>
          </w:p>
        </w:tc>
      </w:tr>
    </w:tbl>
    <w:p/>
    <w:tbl>
      <w:tblPr>
        <w:tblStyle w:val="TableGrid"/>
        <w:tblW w:type="auto" w:w="0"/>
        <w:jc w:val="center"/>
        <w:tblLook w:firstColumn="1" w:firstRow="1" w:lastColumn="0" w:lastRow="0" w:noHBand="0" w:noVBand="1" w:val="04A0"/>
      </w:tblPr>
      <w:tblGrid>
        <w:gridCol w:w="4929"/>
        <w:gridCol w:w="4929"/>
      </w:tblGrid>
      <w:tr>
        <w:tc>
          <w:tcPr>
            <w:tcW w:type="dxa" w:w="4929"/>
            <w:shd w:fill="17324D"/>
            <w:tcMar>
              <w:top w:w="110" w:type="dxa"/>
              <w:start w:w="120" w:type="dxa"/>
              <w:bottom w:w="110" w:type="dxa"/>
              <w:end w:w="120" w:type="dxa"/>
            </w:tcMar>
          </w:tcPr>
          <w:p>
            <w:r>
              <w:rPr>
                <w:b/>
                <w:color w:val="FFFFFF"/>
                <w:sz w:val="17"/>
              </w:rPr>
              <w:t>ODR-06 · Entscheidung</w:t>
            </w:r>
          </w:p>
        </w:tc>
        <w:tc>
          <w:tcPr>
            <w:tcW w:type="dxa" w:w="4929"/>
            <w:shd w:fill="17324D"/>
            <w:tcMar>
              <w:top w:w="110" w:type="dxa"/>
              <w:start w:w="120" w:type="dxa"/>
              <w:bottom w:w="110" w:type="dxa"/>
              <w:end w:w="120" w:type="dxa"/>
            </w:tcMar>
          </w:tcPr>
          <w:p>
            <w:r>
              <w:rPr>
                <w:b/>
                <w:color w:val="FFFFFF"/>
                <w:sz w:val="17"/>
              </w:rPr>
              <w:t>Architektur</w:t>
            </w:r>
          </w:p>
        </w:tc>
      </w:tr>
      <w:tr>
        <w:tc>
          <w:tcPr>
            <w:tcW w:type="dxa" w:w="4929"/>
            <w:shd w:fill="D6E4F0"/>
            <w:tcMar>
              <w:top w:w="110" w:type="dxa"/>
              <w:start w:w="120" w:type="dxa"/>
              <w:bottom w:w="110" w:type="dxa"/>
              <w:end w:w="120" w:type="dxa"/>
            </w:tcMar>
          </w:tcPr>
          <w:p>
            <w:r>
              <w:rPr>
                <w:b/>
                <w:color w:val="002A5B"/>
                <w:sz w:val="17"/>
              </w:rPr>
              <w:t>Beschluss</w:t>
            </w:r>
          </w:p>
        </w:tc>
        <w:tc>
          <w:tcPr>
            <w:tcW w:type="dxa" w:w="4929"/>
            <w:shd w:fill="EAF2F8"/>
            <w:tcMar>
              <w:top w:w="110" w:type="dxa"/>
              <w:start w:w="120" w:type="dxa"/>
              <w:bottom w:w="110" w:type="dxa"/>
              <w:end w:w="120" w:type="dxa"/>
            </w:tcMar>
          </w:tcPr>
          <w:p>
            <w:r>
              <w:rPr>
                <w:sz w:val="17"/>
              </w:rPr>
              <w:t>Modularer Monolith, API-first, vier Deployables.</w:t>
            </w:r>
          </w:p>
        </w:tc>
      </w:tr>
      <w:tr>
        <w:tc>
          <w:tcPr>
            <w:tcW w:type="dxa" w:w="4929"/>
            <w:shd w:fill="D6E4F0"/>
            <w:tcMar>
              <w:top w:w="110" w:type="dxa"/>
              <w:start w:w="120" w:type="dxa"/>
              <w:bottom w:w="110" w:type="dxa"/>
              <w:end w:w="120" w:type="dxa"/>
            </w:tcMar>
          </w:tcPr>
          <w:p>
            <w:r>
              <w:rPr>
                <w:b/>
                <w:color w:val="002A5B"/>
                <w:sz w:val="17"/>
              </w:rPr>
              <w:t>Begründung</w:t>
            </w:r>
          </w:p>
        </w:tc>
        <w:tc>
          <w:tcPr>
            <w:tcW w:type="dxa" w:w="4929"/>
            <w:shd w:fill="EAF2F8"/>
            <w:tcMar>
              <w:top w:w="110" w:type="dxa"/>
              <w:start w:w="120" w:type="dxa"/>
              <w:bottom w:w="110" w:type="dxa"/>
              <w:end w:w="120" w:type="dxa"/>
            </w:tcMar>
          </w:tcPr>
          <w:p>
            <w:r>
              <w:rPr>
                <w:sz w:val="17"/>
              </w:rPr>
              <w:t>Beherrschbare Komplexität bei klaren Domänengrenzen.</w:t>
            </w:r>
          </w:p>
        </w:tc>
      </w:tr>
      <w:tr>
        <w:tc>
          <w:tcPr>
            <w:tcW w:type="dxa" w:w="4929"/>
            <w:shd w:fill="D6E4F0"/>
            <w:tcMar>
              <w:top w:w="110" w:type="dxa"/>
              <w:start w:w="120" w:type="dxa"/>
              <w:bottom w:w="110" w:type="dxa"/>
              <w:end w:w="120" w:type="dxa"/>
            </w:tcMar>
          </w:tcPr>
          <w:p>
            <w:r>
              <w:rPr>
                <w:b/>
                <w:color w:val="002A5B"/>
                <w:sz w:val="17"/>
              </w:rPr>
              <w:t>Konsequenz</w:t>
            </w:r>
          </w:p>
        </w:tc>
        <w:tc>
          <w:tcPr>
            <w:tcW w:type="dxa" w:w="4929"/>
            <w:shd w:fill="EAF2F8"/>
            <w:tcMar>
              <w:top w:w="110" w:type="dxa"/>
              <w:start w:w="120" w:type="dxa"/>
              <w:bottom w:w="110" w:type="dxa"/>
              <w:end w:w="120" w:type="dxa"/>
            </w:tcMar>
          </w:tcPr>
          <w:p>
            <w:r>
              <w:rPr>
                <w:sz w:val="17"/>
              </w:rPr>
              <w:t>Extraktion nur nach ADR und belegtem Bedarf.</w:t>
            </w:r>
          </w:p>
        </w:tc>
      </w:tr>
    </w:tbl>
    <w:p/>
    <w:tbl>
      <w:tblPr>
        <w:tblStyle w:val="TableGrid"/>
        <w:tblW w:type="auto" w:w="0"/>
        <w:jc w:val="center"/>
        <w:tblLook w:firstColumn="1" w:firstRow="1" w:lastColumn="0" w:lastRow="0" w:noHBand="0" w:noVBand="1" w:val="04A0"/>
      </w:tblPr>
      <w:tblGrid>
        <w:gridCol w:w="4929"/>
        <w:gridCol w:w="4929"/>
      </w:tblGrid>
      <w:tr>
        <w:tc>
          <w:tcPr>
            <w:tcW w:type="dxa" w:w="4929"/>
            <w:shd w:fill="17324D"/>
            <w:tcMar>
              <w:top w:w="110" w:type="dxa"/>
              <w:start w:w="120" w:type="dxa"/>
              <w:bottom w:w="110" w:type="dxa"/>
              <w:end w:w="120" w:type="dxa"/>
            </w:tcMar>
          </w:tcPr>
          <w:p>
            <w:r>
              <w:rPr>
                <w:b/>
                <w:color w:val="FFFFFF"/>
                <w:sz w:val="17"/>
              </w:rPr>
              <w:t>ODR-07 · Entscheidung</w:t>
            </w:r>
          </w:p>
        </w:tc>
        <w:tc>
          <w:tcPr>
            <w:tcW w:type="dxa" w:w="4929"/>
            <w:shd w:fill="17324D"/>
            <w:tcMar>
              <w:top w:w="110" w:type="dxa"/>
              <w:start w:w="120" w:type="dxa"/>
              <w:bottom w:w="110" w:type="dxa"/>
              <w:end w:w="120" w:type="dxa"/>
            </w:tcMar>
          </w:tcPr>
          <w:p>
            <w:r>
              <w:rPr>
                <w:b/>
                <w:color w:val="FFFFFF"/>
                <w:sz w:val="17"/>
              </w:rPr>
              <w:t>Hersteller-Fit</w:t>
            </w:r>
          </w:p>
        </w:tc>
      </w:tr>
      <w:tr>
        <w:tc>
          <w:tcPr>
            <w:tcW w:type="dxa" w:w="4929"/>
            <w:shd w:fill="D6E4F0"/>
            <w:tcMar>
              <w:top w:w="110" w:type="dxa"/>
              <w:start w:w="120" w:type="dxa"/>
              <w:bottom w:w="110" w:type="dxa"/>
              <w:end w:w="120" w:type="dxa"/>
            </w:tcMar>
          </w:tcPr>
          <w:p>
            <w:r>
              <w:rPr>
                <w:b/>
                <w:color w:val="002A5B"/>
                <w:sz w:val="17"/>
              </w:rPr>
              <w:t>Beschluss</w:t>
            </w:r>
          </w:p>
        </w:tc>
        <w:tc>
          <w:tcPr>
            <w:tcW w:type="dxa" w:w="4929"/>
            <w:shd w:fill="EAF2F8"/>
            <w:tcMar>
              <w:top w:w="110" w:type="dxa"/>
              <w:start w:w="120" w:type="dxa"/>
              <w:bottom w:w="110" w:type="dxa"/>
              <w:end w:w="120" w:type="dxa"/>
            </w:tcMar>
          </w:tcPr>
          <w:p>
            <w:r>
              <w:rPr>
                <w:sz w:val="17"/>
              </w:rPr>
              <w:t>Capability-basierter Fit, nie käuflich.</w:t>
            </w:r>
          </w:p>
        </w:tc>
      </w:tr>
      <w:tr>
        <w:tc>
          <w:tcPr>
            <w:tcW w:type="dxa" w:w="4929"/>
            <w:shd w:fill="D6E4F0"/>
            <w:tcMar>
              <w:top w:w="110" w:type="dxa"/>
              <w:start w:w="120" w:type="dxa"/>
              <w:bottom w:w="110" w:type="dxa"/>
              <w:end w:w="120" w:type="dxa"/>
            </w:tcMar>
          </w:tcPr>
          <w:p>
            <w:r>
              <w:rPr>
                <w:b/>
                <w:color w:val="002A5B"/>
                <w:sz w:val="17"/>
              </w:rPr>
              <w:t>Begründung</w:t>
            </w:r>
          </w:p>
        </w:tc>
        <w:tc>
          <w:tcPr>
            <w:tcW w:type="dxa" w:w="4929"/>
            <w:shd w:fill="EAF2F8"/>
            <w:tcMar>
              <w:top w:w="110" w:type="dxa"/>
              <w:start w:w="120" w:type="dxa"/>
              <w:bottom w:w="110" w:type="dxa"/>
              <w:end w:w="120" w:type="dxa"/>
            </w:tcMar>
          </w:tcPr>
          <w:p>
            <w:r>
              <w:rPr>
                <w:sz w:val="17"/>
              </w:rPr>
              <w:t>Neutralität ist Eintrittsbedingung.</w:t>
            </w:r>
          </w:p>
        </w:tc>
      </w:tr>
      <w:tr>
        <w:tc>
          <w:tcPr>
            <w:tcW w:type="dxa" w:w="4929"/>
            <w:shd w:fill="D6E4F0"/>
            <w:tcMar>
              <w:top w:w="110" w:type="dxa"/>
              <w:start w:w="120" w:type="dxa"/>
              <w:bottom w:w="110" w:type="dxa"/>
              <w:end w:w="120" w:type="dxa"/>
            </w:tcMar>
          </w:tcPr>
          <w:p>
            <w:r>
              <w:rPr>
                <w:b/>
                <w:color w:val="002A5B"/>
                <w:sz w:val="17"/>
              </w:rPr>
              <w:t>Konsequenz</w:t>
            </w:r>
          </w:p>
        </w:tc>
        <w:tc>
          <w:tcPr>
            <w:tcW w:type="dxa" w:w="4929"/>
            <w:shd w:fill="EAF2F8"/>
            <w:tcMar>
              <w:top w:w="110" w:type="dxa"/>
              <w:start w:w="120" w:type="dxa"/>
              <w:bottom w:w="110" w:type="dxa"/>
              <w:end w:w="120" w:type="dxa"/>
            </w:tcMar>
          </w:tcPr>
          <w:p>
            <w:r>
              <w:rPr>
                <w:sz w:val="17"/>
              </w:rPr>
              <w:t>Ranking und Verifikation auditierbar.</w:t>
            </w:r>
          </w:p>
        </w:tc>
      </w:tr>
    </w:tbl>
    <w:p/>
    <w:tbl>
      <w:tblPr>
        <w:tblStyle w:val="TableGrid"/>
        <w:tblW w:type="auto" w:w="0"/>
        <w:jc w:val="center"/>
        <w:tblLook w:firstColumn="1" w:firstRow="1" w:lastColumn="0" w:lastRow="0" w:noHBand="0" w:noVBand="1" w:val="04A0"/>
      </w:tblPr>
      <w:tblGrid>
        <w:gridCol w:w="4929"/>
        <w:gridCol w:w="4929"/>
      </w:tblGrid>
      <w:tr>
        <w:tc>
          <w:tcPr>
            <w:tcW w:type="dxa" w:w="4929"/>
            <w:shd w:fill="17324D"/>
            <w:tcMar>
              <w:top w:w="110" w:type="dxa"/>
              <w:start w:w="120" w:type="dxa"/>
              <w:bottom w:w="110" w:type="dxa"/>
              <w:end w:w="120" w:type="dxa"/>
            </w:tcMar>
          </w:tcPr>
          <w:p>
            <w:r>
              <w:rPr>
                <w:b/>
                <w:color w:val="FFFFFF"/>
                <w:sz w:val="17"/>
              </w:rPr>
              <w:t>ODR-08 · Entscheidung</w:t>
            </w:r>
          </w:p>
        </w:tc>
        <w:tc>
          <w:tcPr>
            <w:tcW w:type="dxa" w:w="4929"/>
            <w:shd w:fill="17324D"/>
            <w:tcMar>
              <w:top w:w="110" w:type="dxa"/>
              <w:start w:w="120" w:type="dxa"/>
              <w:bottom w:w="110" w:type="dxa"/>
              <w:end w:w="120" w:type="dxa"/>
            </w:tcMar>
          </w:tcPr>
          <w:p>
            <w:r>
              <w:rPr>
                <w:b/>
                <w:color w:val="FFFFFF"/>
                <w:sz w:val="17"/>
              </w:rPr>
              <w:t>Outcome</w:t>
            </w:r>
          </w:p>
        </w:tc>
      </w:tr>
      <w:tr>
        <w:tc>
          <w:tcPr>
            <w:tcW w:type="dxa" w:w="4929"/>
            <w:shd w:fill="D6E4F0"/>
            <w:tcMar>
              <w:top w:w="110" w:type="dxa"/>
              <w:start w:w="120" w:type="dxa"/>
              <w:bottom w:w="110" w:type="dxa"/>
              <w:end w:w="120" w:type="dxa"/>
            </w:tcMar>
          </w:tcPr>
          <w:p>
            <w:r>
              <w:rPr>
                <w:b/>
                <w:color w:val="002A5B"/>
                <w:sz w:val="17"/>
              </w:rPr>
              <w:t>Beschluss</w:t>
            </w:r>
          </w:p>
        </w:tc>
        <w:tc>
          <w:tcPr>
            <w:tcW w:type="dxa" w:w="4929"/>
            <w:shd w:fill="EAF2F8"/>
            <w:tcMar>
              <w:top w:w="110" w:type="dxa"/>
              <w:start w:w="120" w:type="dxa"/>
              <w:bottom w:w="110" w:type="dxa"/>
              <w:end w:w="120" w:type="dxa"/>
            </w:tcMar>
          </w:tcPr>
          <w:p>
            <w:r>
              <w:rPr>
                <w:sz w:val="17"/>
              </w:rPr>
              <w:t>Stufenmodell von passivem Signal bis validierter Felderfahrung.</w:t>
            </w:r>
          </w:p>
        </w:tc>
      </w:tr>
      <w:tr>
        <w:tc>
          <w:tcPr>
            <w:tcW w:type="dxa" w:w="4929"/>
            <w:shd w:fill="D6E4F0"/>
            <w:tcMar>
              <w:top w:w="110" w:type="dxa"/>
              <w:start w:w="120" w:type="dxa"/>
              <w:bottom w:w="110" w:type="dxa"/>
              <w:end w:w="120" w:type="dxa"/>
            </w:tcMar>
          </w:tcPr>
          <w:p>
            <w:r>
              <w:rPr>
                <w:b/>
                <w:color w:val="002A5B"/>
                <w:sz w:val="17"/>
              </w:rPr>
              <w:t>Begründung</w:t>
            </w:r>
          </w:p>
        </w:tc>
        <w:tc>
          <w:tcPr>
            <w:tcW w:type="dxa" w:w="4929"/>
            <w:shd w:fill="EAF2F8"/>
            <w:tcMar>
              <w:top w:w="110" w:type="dxa"/>
              <w:start w:w="120" w:type="dxa"/>
              <w:bottom w:w="110" w:type="dxa"/>
              <w:end w:w="120" w:type="dxa"/>
            </w:tcMar>
          </w:tcPr>
          <w:p>
            <w:r>
              <w:rPr>
                <w:sz w:val="17"/>
              </w:rPr>
              <w:t>Moat entsteht schrittweise und ohne unrealistische Rückmeldepflicht.</w:t>
            </w:r>
          </w:p>
        </w:tc>
      </w:tr>
      <w:tr>
        <w:tc>
          <w:tcPr>
            <w:tcW w:type="dxa" w:w="4929"/>
            <w:shd w:fill="D6E4F0"/>
            <w:tcMar>
              <w:top w:w="110" w:type="dxa"/>
              <w:start w:w="120" w:type="dxa"/>
              <w:bottom w:w="110" w:type="dxa"/>
              <w:end w:w="120" w:type="dxa"/>
            </w:tcMar>
          </w:tcPr>
          <w:p>
            <w:r>
              <w:rPr>
                <w:b/>
                <w:color w:val="002A5B"/>
                <w:sz w:val="17"/>
              </w:rPr>
              <w:t>Konsequenz</w:t>
            </w:r>
          </w:p>
        </w:tc>
        <w:tc>
          <w:tcPr>
            <w:tcW w:type="dxa" w:w="4929"/>
            <w:shd w:fill="EAF2F8"/>
            <w:tcMar>
              <w:top w:w="110" w:type="dxa"/>
              <w:start w:w="120" w:type="dxa"/>
              <w:bottom w:w="110" w:type="dxa"/>
              <w:end w:w="120" w:type="dxa"/>
            </w:tcMar>
          </w:tcPr>
          <w:p>
            <w:r>
              <w:rPr>
                <w:sz w:val="17"/>
              </w:rPr>
              <w:t>Outcome-Claims nur nach belegtem Reifegrad.</w:t>
            </w:r>
          </w:p>
        </w:tc>
      </w:tr>
    </w:tbl>
    <w:p/>
    <w:p>
      <w:pPr>
        <w:pStyle w:val="Heading2"/>
      </w:pPr>
      <w:r>
        <w:t>22.2 Änderungsprozess</w:t>
      </w:r>
    </w:p>
    <w:p>
      <w:pPr>
        <w:pStyle w:val="ListNumber"/>
        <w:spacing w:after="40"/>
      </w:pPr>
      <w:r>
        <w:t>Änderungsantrag mit Problem, Evidenz und betroffenen Invarianten.</w:t>
      </w:r>
    </w:p>
    <w:p>
      <w:pPr>
        <w:pStyle w:val="ListNumber"/>
        <w:spacing w:after="40"/>
      </w:pPr>
      <w:r>
        <w:t>Klassifikation: redaktionell, Produkt, Architektur, Safety, Legal oder Business.</w:t>
      </w:r>
    </w:p>
    <w:p>
      <w:pPr>
        <w:pStyle w:val="ListNumber"/>
        <w:spacing w:after="40"/>
      </w:pPr>
      <w:r>
        <w:t>Auswirkungsanalyse auf Daten, KI, Tests, Website, Governance und Betrieb.</w:t>
      </w:r>
    </w:p>
    <w:p>
      <w:pPr>
        <w:pStyle w:val="ListNumber"/>
        <w:spacing w:after="40"/>
      </w:pPr>
      <w:r>
        <w:t>Bei strategischer Änderung Owner-Decision oder ADR.</w:t>
      </w:r>
    </w:p>
    <w:p>
      <w:pPr>
        <w:pStyle w:val="ListNumber"/>
        <w:spacing w:after="40"/>
      </w:pPr>
      <w:r>
        <w:t>Implementierung feature-flagged und mit Tests/Eval.</w:t>
      </w:r>
    </w:p>
    <w:p>
      <w:pPr>
        <w:pStyle w:val="ListNumber"/>
        <w:spacing w:after="40"/>
      </w:pPr>
      <w:r>
        <w:t>Dokumentation, Reifegrad und SSoT aktualisieren.</w:t>
      </w:r>
    </w:p>
    <w:p>
      <w:pPr>
        <w:pStyle w:val="ListNumber"/>
        <w:spacing w:after="40"/>
      </w:pPr>
      <w:r>
        <w:t>Aktivierung erst nach Gate und Rollback-Nachweis.</w:t>
      </w:r>
    </w:p>
    <w:p>
      <w:pPr>
        <w:pStyle w:val="Heading2"/>
      </w:pPr>
      <w:r>
        <w:t>22.3 Verbotene Abkürzungen</w:t>
      </w:r>
    </w:p>
    <w:p>
      <w:pPr>
        <w:pStyle w:val="ListBullet"/>
        <w:spacing w:after="40"/>
      </w:pPr>
      <w:r>
        <w:t>kein Feature allein aufgrund eines überzeugenden Demos live schalten</w:t>
      </w:r>
    </w:p>
    <w:p>
      <w:pPr>
        <w:pStyle w:val="ListBullet"/>
        <w:spacing w:after="40"/>
      </w:pPr>
      <w:r>
        <w:t>keine ungeprüften Deep-Research-Ergebnisse als Reviewed Claims übernehmen</w:t>
      </w:r>
    </w:p>
    <w:p>
      <w:pPr>
        <w:pStyle w:val="ListBullet"/>
        <w:spacing w:after="40"/>
      </w:pPr>
      <w:r>
        <w:t>keine technische Zahl direkt aus LLM-Text persistieren</w:t>
      </w:r>
    </w:p>
    <w:p>
      <w:pPr>
        <w:pStyle w:val="ListBullet"/>
        <w:spacing w:after="40"/>
      </w:pPr>
      <w:r>
        <w:t>keine Herstellerkompetenz ohne Nachweis als verifiziert markieren</w:t>
      </w:r>
    </w:p>
    <w:p>
      <w:pPr>
        <w:pStyle w:val="ListBullet"/>
        <w:spacing w:after="40"/>
      </w:pPr>
      <w:r>
        <w:t>keine Cross-Tenant-Analytik ohne Rechts-, Datenschutz- und Governance-Freigabe</w:t>
      </w:r>
    </w:p>
    <w:p>
      <w:pPr>
        <w:pStyle w:val="ListBullet"/>
        <w:spacing w:after="40"/>
      </w:pPr>
      <w:r>
        <w:t>keine Freigabesprache durch Disclaimer nachträglich relativieren</w:t>
      </w:r>
    </w:p>
    <w:p>
      <w:r>
        <w:br w:type="page"/>
      </w:r>
    </w:p>
    <w:p>
      <w:pPr>
        <w:pStyle w:val="Heading1"/>
      </w:pPr>
      <w:r>
        <w:t>23. Architektur- und Produkt-Audit gegen die SSoT</w:t>
      </w:r>
    </w:p>
    <w:p>
      <w:r>
        <w:t>Das aktuelle Monorepo wird gegen diese SSoT in einem evidenzbasierten Deep-Dive geprüft. Der Audit trennt deklarierte, implementierte, getestete, gebaute, deployte und beobachtete Zustände.</w:t>
      </w:r>
    </w:p>
    <w:p>
      <w:pPr>
        <w:pStyle w:val="Heading2"/>
      </w:pPr>
      <w:r>
        <w:t>23.1 Auditdimensionen</w:t>
      </w:r>
    </w:p>
    <w:p>
      <w:pPr>
        <w:pStyle w:val="ListBullet"/>
        <w:spacing w:after="40"/>
      </w:pPr>
      <w:r>
        <w:t>Authority Order und Dokumentdrift</w:t>
      </w:r>
    </w:p>
    <w:p>
      <w:pPr>
        <w:pStyle w:val="ListBullet"/>
        <w:spacing w:after="40"/>
      </w:pPr>
      <w:r>
        <w:t>Repo-, Modul- und Importgrenzen</w:t>
      </w:r>
    </w:p>
    <w:p>
      <w:pPr>
        <w:pStyle w:val="ListBullet"/>
        <w:spacing w:after="40"/>
      </w:pPr>
      <w:r>
        <w:t>Runtime und Deployables</w:t>
      </w:r>
    </w:p>
    <w:p>
      <w:pPr>
        <w:pStyle w:val="ListBullet"/>
        <w:spacing w:after="40"/>
      </w:pPr>
      <w:r>
        <w:t>Datenhoheit und Tenant-Isolation</w:t>
      </w:r>
    </w:p>
    <w:p>
      <w:pPr>
        <w:pStyle w:val="ListBullet"/>
        <w:spacing w:after="40"/>
      </w:pPr>
      <w:r>
        <w:t>Claim-, Quellen- und Applicability-Modell</w:t>
      </w:r>
    </w:p>
    <w:p>
      <w:pPr>
        <w:pStyle w:val="ListBullet"/>
        <w:spacing w:after="40"/>
      </w:pPr>
      <w:r>
        <w:t>Kernel-, LLM-, Verifier- und Response-Contract-Grenzen</w:t>
      </w:r>
    </w:p>
    <w:p>
      <w:pPr>
        <w:pStyle w:val="ListBullet"/>
        <w:spacing w:after="40"/>
      </w:pPr>
      <w:r>
        <w:t>API-, SSE- und Client-Verträge</w:t>
      </w:r>
    </w:p>
    <w:p>
      <w:pPr>
        <w:pStyle w:val="ListBullet"/>
        <w:spacing w:after="40"/>
      </w:pPr>
      <w:r>
        <w:t>Worker, Jobs, Idempotenz und Outbox</w:t>
      </w:r>
    </w:p>
    <w:p>
      <w:pPr>
        <w:pStyle w:val="ListBullet"/>
        <w:spacing w:after="40"/>
      </w:pPr>
      <w:r>
        <w:t>Marketing- und Workspace-Coverage</w:t>
      </w:r>
    </w:p>
    <w:p>
      <w:pPr>
        <w:pStyle w:val="ListBullet"/>
        <w:spacing w:after="40"/>
      </w:pPr>
      <w:r>
        <w:t>Eval-, Test-, Release- und Rollbackintegrität</w:t>
      </w:r>
    </w:p>
    <w:p>
      <w:pPr>
        <w:pStyle w:val="ListBullet"/>
        <w:spacing w:after="40"/>
      </w:pPr>
      <w:r>
        <w:t>Reifegradkennzeichnung und externe Claims</w:t>
      </w:r>
    </w:p>
    <w:p>
      <w:pPr>
        <w:pStyle w:val="ListBullet"/>
        <w:spacing w:after="40"/>
      </w:pPr>
      <w:r>
        <w:t>Legal-, Neutralitäts- und Interessenkonflikt-Governance</w:t>
      </w:r>
    </w:p>
    <w:p>
      <w:pPr>
        <w:pStyle w:val="Heading2"/>
      </w:pPr>
      <w:r>
        <w:t>23.2 Hard Gates</w:t>
      </w:r>
    </w:p>
    <w:tbl>
      <w:tblPr>
        <w:tblStyle w:val="TableGrid"/>
        <w:tblW w:type="auto" w:w="0"/>
        <w:jc w:val="center"/>
        <w:tblLook w:firstColumn="1" w:firstRow="1" w:lastColumn="0" w:lastRow="0" w:noHBand="0" w:noVBand="1" w:val="04A0"/>
      </w:tblPr>
      <w:tblGrid>
        <w:gridCol w:w="4929"/>
        <w:gridCol w:w="4929"/>
      </w:tblGrid>
      <w:tr>
        <w:tc>
          <w:tcPr>
            <w:tcW w:type="dxa" w:w="1701"/>
            <w:shd w:fill="17324D"/>
            <w:tcMar>
              <w:top w:w="90" w:type="dxa"/>
              <w:start w:w="90" w:type="dxa"/>
              <w:bottom w:w="90" w:type="dxa"/>
              <w:end w:w="90" w:type="dxa"/>
            </w:tcMar>
            <w:vAlign w:val="center"/>
          </w:tcPr>
          <w:p>
            <w:pPr>
              <w:jc w:val="left"/>
            </w:pPr>
            <w:r>
              <w:rPr>
                <w:b/>
                <w:color w:val="FFFFFF"/>
                <w:sz w:val="17"/>
              </w:rPr>
              <w:t>Gate</w:t>
            </w:r>
          </w:p>
        </w:tc>
        <w:tc>
          <w:tcPr>
            <w:tcW w:type="dxa" w:w="7710"/>
            <w:shd w:fill="17324D"/>
            <w:tcMar>
              <w:top w:w="90" w:type="dxa"/>
              <w:start w:w="90" w:type="dxa"/>
              <w:bottom w:w="90" w:type="dxa"/>
              <w:end w:w="90" w:type="dxa"/>
            </w:tcMar>
            <w:vAlign w:val="center"/>
          </w:tcPr>
          <w:p>
            <w:pPr>
              <w:jc w:val="left"/>
            </w:pPr>
            <w:r>
              <w:rPr>
                <w:b/>
                <w:color w:val="FFFFFF"/>
                <w:sz w:val="17"/>
              </w:rPr>
              <w:t>Nicht kompensierbare Bedingung</w:t>
            </w:r>
          </w:p>
        </w:tc>
      </w:tr>
      <w:tr>
        <w:trPr>
          <w:trHeight w:hRule="atLeast"/>
        </w:trPr>
        <w:tc>
          <w:tcPr>
            <w:tcW w:type="dxa" w:w="1701"/>
            <w:tcMar>
              <w:top w:w="90" w:type="dxa"/>
              <w:start w:w="90" w:type="dxa"/>
              <w:bottom w:w="90" w:type="dxa"/>
              <w:end w:w="90" w:type="dxa"/>
            </w:tcMar>
            <w:vAlign w:val="top"/>
          </w:tcPr>
          <w:p>
            <w:r>
              <w:rPr>
                <w:b/>
                <w:color w:val="002A5B"/>
                <w:sz w:val="17"/>
              </w:rPr>
              <w:t>G1 Tenant</w:t>
            </w:r>
          </w:p>
        </w:tc>
        <w:tc>
          <w:tcPr>
            <w:tcW w:type="dxa" w:w="7710"/>
            <w:tcMar>
              <w:top w:w="90" w:type="dxa"/>
              <w:start w:w="90" w:type="dxa"/>
              <w:bottom w:w="90" w:type="dxa"/>
              <w:end w:w="90" w:type="dxa"/>
            </w:tcMar>
            <w:vAlign w:val="top"/>
          </w:tcPr>
          <w:p>
            <w:r>
              <w:rPr>
                <w:sz w:val="17"/>
              </w:rPr>
              <w:t>Kein Cross-Tenant-Leak in Postgres, Retrieval, Memory, Jobs oder Artefakten.</w:t>
            </w:r>
          </w:p>
        </w:tc>
      </w:tr>
      <w:tr>
        <w:trPr>
          <w:trHeight w:hRule="atLeast"/>
        </w:trPr>
        <w:tc>
          <w:tcPr>
            <w:tcW w:type="dxa" w:w="1701"/>
            <w:tcMar>
              <w:top w:w="90" w:type="dxa"/>
              <w:start w:w="90" w:type="dxa"/>
              <w:bottom w:w="90" w:type="dxa"/>
              <w:end w:w="90" w:type="dxa"/>
            </w:tcMar>
            <w:vAlign w:val="top"/>
          </w:tcPr>
          <w:p>
            <w:r>
              <w:rPr>
                <w:b/>
                <w:color w:val="002A5B"/>
                <w:sz w:val="17"/>
              </w:rPr>
              <w:t>G2 Evidence</w:t>
            </w:r>
          </w:p>
        </w:tc>
        <w:tc>
          <w:tcPr>
            <w:tcW w:type="dxa" w:w="7710"/>
            <w:tcMar>
              <w:top w:w="90" w:type="dxa"/>
              <w:start w:w="90" w:type="dxa"/>
              <w:bottom w:w="90" w:type="dxa"/>
              <w:end w:w="90" w:type="dxa"/>
            </w:tcMar>
            <w:vAlign w:val="top"/>
          </w:tcPr>
          <w:p>
            <w:r>
              <w:rPr>
                <w:sz w:val="17"/>
              </w:rPr>
              <w:t>Kein autoritativer technischer Claim ohne Quelle, Status und Applicability.</w:t>
            </w:r>
          </w:p>
        </w:tc>
      </w:tr>
      <w:tr>
        <w:trPr>
          <w:trHeight w:hRule="atLeast"/>
        </w:trPr>
        <w:tc>
          <w:tcPr>
            <w:tcW w:type="dxa" w:w="1701"/>
            <w:tcMar>
              <w:top w:w="90" w:type="dxa"/>
              <w:start w:w="90" w:type="dxa"/>
              <w:bottom w:w="90" w:type="dxa"/>
              <w:end w:w="90" w:type="dxa"/>
            </w:tcMar>
            <w:vAlign w:val="top"/>
          </w:tcPr>
          <w:p>
            <w:r>
              <w:rPr>
                <w:b/>
                <w:color w:val="002A5B"/>
                <w:sz w:val="17"/>
              </w:rPr>
              <w:t>G3 Kernel</w:t>
            </w:r>
          </w:p>
        </w:tc>
        <w:tc>
          <w:tcPr>
            <w:tcW w:type="dxa" w:w="7710"/>
            <w:tcMar>
              <w:top w:w="90" w:type="dxa"/>
              <w:start w:w="90" w:type="dxa"/>
              <w:bottom w:w="90" w:type="dxa"/>
              <w:end w:w="90" w:type="dxa"/>
            </w:tcMar>
            <w:vAlign w:val="top"/>
          </w:tcPr>
          <w:p>
            <w:r>
              <w:rPr>
                <w:sz w:val="17"/>
              </w:rPr>
              <w:t>Keine berechnete Zahl aus unkontrollierter LLM-Ausgabe.</w:t>
            </w:r>
          </w:p>
        </w:tc>
      </w:tr>
      <w:tr>
        <w:trPr>
          <w:trHeight w:hRule="atLeast"/>
        </w:trPr>
        <w:tc>
          <w:tcPr>
            <w:tcW w:type="dxa" w:w="1701"/>
            <w:tcMar>
              <w:top w:w="90" w:type="dxa"/>
              <w:start w:w="90" w:type="dxa"/>
              <w:bottom w:w="90" w:type="dxa"/>
              <w:end w:w="90" w:type="dxa"/>
            </w:tcMar>
            <w:vAlign w:val="top"/>
          </w:tcPr>
          <w:p>
            <w:r>
              <w:rPr>
                <w:b/>
                <w:color w:val="002A5B"/>
                <w:sz w:val="17"/>
              </w:rPr>
              <w:t>G4 Approval</w:t>
            </w:r>
          </w:p>
        </w:tc>
        <w:tc>
          <w:tcPr>
            <w:tcW w:type="dxa" w:w="7710"/>
            <w:tcMar>
              <w:top w:w="90" w:type="dxa"/>
              <w:start w:w="90" w:type="dxa"/>
              <w:bottom w:w="90" w:type="dxa"/>
              <w:end w:w="90" w:type="dxa"/>
            </w:tcMar>
            <w:vAlign w:val="top"/>
          </w:tcPr>
          <w:p>
            <w:r>
              <w:rPr>
                <w:sz w:val="17"/>
              </w:rPr>
              <w:t>Keine finale technische Freigabe durch sealingAI.</w:t>
            </w:r>
          </w:p>
        </w:tc>
      </w:tr>
      <w:tr>
        <w:trPr>
          <w:trHeight w:hRule="atLeast"/>
        </w:trPr>
        <w:tc>
          <w:tcPr>
            <w:tcW w:type="dxa" w:w="1701"/>
            <w:tcMar>
              <w:top w:w="90" w:type="dxa"/>
              <w:start w:w="90" w:type="dxa"/>
              <w:bottom w:w="90" w:type="dxa"/>
              <w:end w:w="90" w:type="dxa"/>
            </w:tcMar>
            <w:vAlign w:val="top"/>
          </w:tcPr>
          <w:p>
            <w:r>
              <w:rPr>
                <w:b/>
                <w:color w:val="002A5B"/>
                <w:sz w:val="17"/>
              </w:rPr>
              <w:t>G5 Neutrality</w:t>
            </w:r>
          </w:p>
        </w:tc>
        <w:tc>
          <w:tcPr>
            <w:tcW w:type="dxa" w:w="7710"/>
            <w:tcMar>
              <w:top w:w="90" w:type="dxa"/>
              <w:start w:w="90" w:type="dxa"/>
              <w:bottom w:w="90" w:type="dxa"/>
              <w:end w:w="90" w:type="dxa"/>
            </w:tcMar>
            <w:vAlign w:val="top"/>
          </w:tcPr>
          <w:p>
            <w:r>
              <w:rPr>
                <w:sz w:val="17"/>
              </w:rPr>
              <w:t>Kein käuflicher technischer Fit.</w:t>
            </w:r>
          </w:p>
        </w:tc>
      </w:tr>
      <w:tr>
        <w:trPr>
          <w:trHeight w:hRule="atLeast"/>
        </w:trPr>
        <w:tc>
          <w:tcPr>
            <w:tcW w:type="dxa" w:w="1701"/>
            <w:tcMar>
              <w:top w:w="90" w:type="dxa"/>
              <w:start w:w="90" w:type="dxa"/>
              <w:bottom w:w="90" w:type="dxa"/>
              <w:end w:w="90" w:type="dxa"/>
            </w:tcMar>
            <w:vAlign w:val="top"/>
          </w:tcPr>
          <w:p>
            <w:r>
              <w:rPr>
                <w:b/>
                <w:color w:val="002A5B"/>
                <w:sz w:val="17"/>
              </w:rPr>
              <w:t>G6 Audit</w:t>
            </w:r>
          </w:p>
        </w:tc>
        <w:tc>
          <w:tcPr>
            <w:tcW w:type="dxa" w:w="7710"/>
            <w:tcMar>
              <w:top w:w="90" w:type="dxa"/>
              <w:start w:w="90" w:type="dxa"/>
              <w:bottom w:w="90" w:type="dxa"/>
              <w:end w:w="90" w:type="dxa"/>
            </w:tcMar>
            <w:vAlign w:val="top"/>
          </w:tcPr>
          <w:p>
            <w:r>
              <w:rPr>
                <w:sz w:val="17"/>
              </w:rPr>
              <w:t>Entscheidungen und Freigaben sind versioniert und nachvollziehbar.</w:t>
            </w:r>
          </w:p>
        </w:tc>
      </w:tr>
      <w:tr>
        <w:trPr>
          <w:trHeight w:hRule="atLeast"/>
        </w:trPr>
        <w:tc>
          <w:tcPr>
            <w:tcW w:type="dxa" w:w="1701"/>
            <w:tcMar>
              <w:top w:w="90" w:type="dxa"/>
              <w:start w:w="90" w:type="dxa"/>
              <w:bottom w:w="90" w:type="dxa"/>
              <w:end w:w="90" w:type="dxa"/>
            </w:tcMar>
            <w:vAlign w:val="top"/>
          </w:tcPr>
          <w:p>
            <w:r>
              <w:rPr>
                <w:b/>
                <w:color w:val="002A5B"/>
                <w:sz w:val="17"/>
              </w:rPr>
              <w:t>G7 Release</w:t>
            </w:r>
          </w:p>
        </w:tc>
        <w:tc>
          <w:tcPr>
            <w:tcW w:type="dxa" w:w="7710"/>
            <w:tcMar>
              <w:top w:w="90" w:type="dxa"/>
              <w:start w:w="90" w:type="dxa"/>
              <w:bottom w:w="90" w:type="dxa"/>
              <w:end w:w="90" w:type="dxa"/>
            </w:tcMar>
            <w:vAlign w:val="top"/>
          </w:tcPr>
          <w:p>
            <w:r>
              <w:rPr>
                <w:sz w:val="17"/>
              </w:rPr>
              <w:t>Kein ungeprüfter oder nicht reproduzierbarer Produktionsrelease.</w:t>
            </w:r>
          </w:p>
        </w:tc>
      </w:tr>
      <w:tr>
        <w:trPr>
          <w:trHeight w:hRule="atLeast"/>
        </w:trPr>
        <w:tc>
          <w:tcPr>
            <w:tcW w:type="dxa" w:w="1701"/>
            <w:tcMar>
              <w:top w:w="90" w:type="dxa"/>
              <w:start w:w="90" w:type="dxa"/>
              <w:bottom w:w="90" w:type="dxa"/>
              <w:end w:w="90" w:type="dxa"/>
            </w:tcMar>
            <w:vAlign w:val="top"/>
          </w:tcPr>
          <w:p>
            <w:r>
              <w:rPr>
                <w:b/>
                <w:color w:val="002A5B"/>
                <w:sz w:val="17"/>
              </w:rPr>
              <w:t>G8 Scope</w:t>
            </w:r>
          </w:p>
        </w:tc>
        <w:tc>
          <w:tcPr>
            <w:tcW w:type="dxa" w:w="7710"/>
            <w:tcMar>
              <w:top w:w="90" w:type="dxa"/>
              <w:start w:w="90" w:type="dxa"/>
              <w:bottom w:w="90" w:type="dxa"/>
              <w:end w:w="90" w:type="dxa"/>
            </w:tcMar>
            <w:vAlign w:val="top"/>
          </w:tcPr>
          <w:p>
            <w:r>
              <w:rPr>
                <w:sz w:val="17"/>
              </w:rPr>
              <w:t>Kein neuer Produktmodus ohne Eval- und Reifegradgate.</w:t>
            </w:r>
          </w:p>
        </w:tc>
      </w:tr>
    </w:tbl>
    <w:p/>
    <w:p>
      <w:r>
        <w:br w:type="page"/>
      </w:r>
    </w:p>
    <w:p>
      <w:pPr>
        <w:pStyle w:val="Heading1"/>
      </w:pPr>
      <w:r>
        <w:t>24. Verbindliche Änderungsliste M1–M16</w:t>
      </w:r>
    </w:p>
    <w:tbl>
      <w:tblPr>
        <w:tblStyle w:val="TableGrid"/>
        <w:tblW w:type="auto" w:w="0"/>
        <w:jc w:val="center"/>
        <w:tblLook w:firstColumn="1" w:firstRow="1" w:lastColumn="0" w:lastRow="0" w:noHBand="0" w:noVBand="1" w:val="04A0"/>
      </w:tblPr>
      <w:tblGrid>
        <w:gridCol w:w="1972"/>
        <w:gridCol w:w="1972"/>
        <w:gridCol w:w="1972"/>
        <w:gridCol w:w="1972"/>
        <w:gridCol w:w="1972"/>
      </w:tblGrid>
      <w:tr>
        <w:tc>
          <w:tcPr>
            <w:tcW w:type="dxa" w:w="567"/>
            <w:shd w:fill="17324D"/>
            <w:tcMar>
              <w:top w:w="40" w:type="dxa"/>
              <w:start w:w="40" w:type="dxa"/>
              <w:bottom w:w="40" w:type="dxa"/>
              <w:end w:w="40" w:type="dxa"/>
            </w:tcMar>
            <w:vAlign w:val="center"/>
          </w:tcPr>
          <w:p>
            <w:pPr>
              <w:spacing w:after="0" w:before="0" w:line="240" w:lineRule="auto"/>
              <w:jc w:val="left"/>
            </w:pPr>
            <w:r>
              <w:rPr>
                <w:b/>
                <w:color w:val="FFFFFF"/>
                <w:sz w:val="13"/>
              </w:rPr>
              <w:t>ID</w:t>
            </w:r>
          </w:p>
        </w:tc>
        <w:tc>
          <w:tcPr>
            <w:tcW w:type="dxa" w:w="2891"/>
            <w:shd w:fill="17324D"/>
            <w:tcMar>
              <w:top w:w="40" w:type="dxa"/>
              <w:start w:w="40" w:type="dxa"/>
              <w:bottom w:w="40" w:type="dxa"/>
              <w:end w:w="40" w:type="dxa"/>
            </w:tcMar>
            <w:vAlign w:val="center"/>
          </w:tcPr>
          <w:p>
            <w:pPr>
              <w:spacing w:after="0" w:before="0" w:line="240" w:lineRule="auto"/>
              <w:jc w:val="left"/>
            </w:pPr>
            <w:r>
              <w:rPr>
                <w:b/>
                <w:color w:val="FFFFFF"/>
                <w:sz w:val="13"/>
              </w:rPr>
              <w:t>Änderung</w:t>
            </w:r>
          </w:p>
        </w:tc>
        <w:tc>
          <w:tcPr>
            <w:tcW w:type="dxa" w:w="907"/>
            <w:shd w:fill="17324D"/>
            <w:tcMar>
              <w:top w:w="40" w:type="dxa"/>
              <w:start w:w="40" w:type="dxa"/>
              <w:bottom w:w="40" w:type="dxa"/>
              <w:end w:w="40" w:type="dxa"/>
            </w:tcMar>
            <w:vAlign w:val="center"/>
          </w:tcPr>
          <w:p>
            <w:pPr>
              <w:spacing w:after="0" w:before="0" w:line="240" w:lineRule="auto"/>
              <w:jc w:val="left"/>
            </w:pPr>
            <w:r>
              <w:rPr>
                <w:b/>
                <w:color w:val="FFFFFF"/>
                <w:sz w:val="13"/>
              </w:rPr>
              <w:t>Priorität</w:t>
            </w:r>
          </w:p>
        </w:tc>
        <w:tc>
          <w:tcPr>
            <w:tcW w:type="dxa" w:w="2494"/>
            <w:shd w:fill="17324D"/>
            <w:tcMar>
              <w:top w:w="40" w:type="dxa"/>
              <w:start w:w="40" w:type="dxa"/>
              <w:bottom w:w="40" w:type="dxa"/>
              <w:end w:w="40" w:type="dxa"/>
            </w:tcMar>
            <w:vAlign w:val="center"/>
          </w:tcPr>
          <w:p>
            <w:pPr>
              <w:spacing w:after="0" w:before="0" w:line="240" w:lineRule="auto"/>
              <w:jc w:val="left"/>
            </w:pPr>
            <w:r>
              <w:rPr>
                <w:b/>
                <w:color w:val="FFFFFF"/>
                <w:sz w:val="13"/>
              </w:rPr>
              <w:t>Status</w:t>
            </w:r>
          </w:p>
        </w:tc>
        <w:tc>
          <w:tcPr>
            <w:tcW w:type="dxa" w:w="2551"/>
            <w:shd w:fill="17324D"/>
            <w:tcMar>
              <w:top w:w="40" w:type="dxa"/>
              <w:start w:w="40" w:type="dxa"/>
              <w:bottom w:w="40" w:type="dxa"/>
              <w:end w:w="40" w:type="dxa"/>
            </w:tcMar>
            <w:vAlign w:val="center"/>
          </w:tcPr>
          <w:p>
            <w:pPr>
              <w:spacing w:after="0" w:before="0" w:line="240" w:lineRule="auto"/>
              <w:jc w:val="left"/>
            </w:pPr>
            <w:r>
              <w:rPr>
                <w:b/>
                <w:color w:val="FFFFFF"/>
                <w:sz w:val="13"/>
              </w:rPr>
              <w:t>Abnahme</w:t>
            </w:r>
          </w:p>
        </w:tc>
      </w:tr>
      <w:tr>
        <w:trPr>
          <w:trHeight w:hRule="atLeast"/>
        </w:trPr>
        <w:tc>
          <w:tcPr>
            <w:tcW w:type="dxa" w:w="567"/>
            <w:tcMar>
              <w:top w:w="40" w:type="dxa"/>
              <w:start w:w="40" w:type="dxa"/>
              <w:bottom w:w="40" w:type="dxa"/>
              <w:end w:w="40" w:type="dxa"/>
            </w:tcMar>
            <w:vAlign w:val="top"/>
          </w:tcPr>
          <w:p>
            <w:pPr>
              <w:spacing w:after="0" w:before="0" w:line="240" w:lineRule="auto"/>
            </w:pPr>
            <w:r>
              <w:rPr>
                <w:b/>
                <w:color w:val="002A5B"/>
                <w:sz w:val="13"/>
              </w:rPr>
              <w:t>M1</w:t>
            </w:r>
          </w:p>
        </w:tc>
        <w:tc>
          <w:tcPr>
            <w:tcW w:type="dxa" w:w="2891"/>
            <w:tcMar>
              <w:top w:w="40" w:type="dxa"/>
              <w:start w:w="40" w:type="dxa"/>
              <w:bottom w:w="40" w:type="dxa"/>
              <w:end w:w="40" w:type="dxa"/>
            </w:tcMar>
            <w:vAlign w:val="top"/>
          </w:tcPr>
          <w:p>
            <w:pPr>
              <w:spacing w:after="0" w:before="0" w:line="240" w:lineRule="auto"/>
            </w:pPr>
            <w:r>
              <w:rPr>
                <w:sz w:val="13"/>
              </w:rPr>
              <w:t>Authority Order und Supersession</w:t>
            </w:r>
          </w:p>
        </w:tc>
        <w:tc>
          <w:tcPr>
            <w:tcW w:type="dxa" w:w="907"/>
            <w:tcMar>
              <w:top w:w="40" w:type="dxa"/>
              <w:start w:w="40" w:type="dxa"/>
              <w:bottom w:w="40" w:type="dxa"/>
              <w:end w:w="40" w:type="dxa"/>
            </w:tcMar>
            <w:vAlign w:val="top"/>
          </w:tcPr>
          <w:p>
            <w:pPr>
              <w:spacing w:after="0" w:before="0" w:line="240" w:lineRule="auto"/>
            </w:pPr>
            <w:r>
              <w:rPr>
                <w:sz w:val="13"/>
              </w:rPr>
              <w:t>P0</w:t>
            </w:r>
          </w:p>
        </w:tc>
        <w:tc>
          <w:tcPr>
            <w:tcW w:type="dxa" w:w="2494"/>
            <w:tcMar>
              <w:top w:w="40" w:type="dxa"/>
              <w:start w:w="40" w:type="dxa"/>
              <w:bottom w:w="40" w:type="dxa"/>
              <w:end w:w="40" w:type="dxa"/>
            </w:tcMar>
            <w:vAlign w:val="top"/>
          </w:tcPr>
          <w:p>
            <w:pPr>
              <w:spacing w:after="0" w:before="0" w:line="240" w:lineRule="auto"/>
            </w:pPr>
            <w:r>
              <w:rPr>
                <w:sz w:val="13"/>
              </w:rPr>
              <w:t>In dieser SSoT ratifiziert</w:t>
            </w:r>
          </w:p>
        </w:tc>
        <w:tc>
          <w:tcPr>
            <w:tcW w:type="dxa" w:w="2551"/>
            <w:tcMar>
              <w:top w:w="40" w:type="dxa"/>
              <w:start w:w="40" w:type="dxa"/>
              <w:bottom w:w="40" w:type="dxa"/>
              <w:end w:w="40" w:type="dxa"/>
            </w:tcMar>
            <w:vAlign w:val="top"/>
          </w:tcPr>
          <w:p>
            <w:pPr>
              <w:spacing w:after="0" w:before="0" w:line="240" w:lineRule="auto"/>
            </w:pPr>
            <w:r>
              <w:rPr>
                <w:sz w:val="13"/>
              </w:rPr>
              <w:t>Dokumentkonflikte eindeutig lösbar</w:t>
            </w:r>
          </w:p>
        </w:tc>
      </w:tr>
      <w:tr>
        <w:trPr>
          <w:trHeight w:hRule="atLeast"/>
        </w:trPr>
        <w:tc>
          <w:tcPr>
            <w:tcW w:type="dxa" w:w="567"/>
            <w:tcMar>
              <w:top w:w="40" w:type="dxa"/>
              <w:start w:w="40" w:type="dxa"/>
              <w:bottom w:w="40" w:type="dxa"/>
              <w:end w:w="40" w:type="dxa"/>
            </w:tcMar>
            <w:vAlign w:val="top"/>
          </w:tcPr>
          <w:p>
            <w:pPr>
              <w:spacing w:after="0" w:before="0" w:line="240" w:lineRule="auto"/>
            </w:pPr>
            <w:r>
              <w:rPr>
                <w:b/>
                <w:color w:val="002A5B"/>
                <w:sz w:val="13"/>
              </w:rPr>
              <w:t>M2</w:t>
            </w:r>
          </w:p>
        </w:tc>
        <w:tc>
          <w:tcPr>
            <w:tcW w:type="dxa" w:w="2891"/>
            <w:tcMar>
              <w:top w:w="40" w:type="dxa"/>
              <w:start w:w="40" w:type="dxa"/>
              <w:bottom w:w="40" w:type="dxa"/>
              <w:end w:w="40" w:type="dxa"/>
            </w:tcMar>
            <w:vAlign w:val="top"/>
          </w:tcPr>
          <w:p>
            <w:pPr>
              <w:spacing w:after="0" w:before="0" w:line="240" w:lineRule="auto"/>
            </w:pPr>
            <w:r>
              <w:rPr>
                <w:sz w:val="13"/>
              </w:rPr>
              <w:t>Mapping auf Invarianten, Verdicts und Coverage</w:t>
            </w:r>
          </w:p>
        </w:tc>
        <w:tc>
          <w:tcPr>
            <w:tcW w:type="dxa" w:w="907"/>
            <w:tcMar>
              <w:top w:w="40" w:type="dxa"/>
              <w:start w:w="40" w:type="dxa"/>
              <w:bottom w:w="40" w:type="dxa"/>
              <w:end w:w="40" w:type="dxa"/>
            </w:tcMar>
            <w:vAlign w:val="top"/>
          </w:tcPr>
          <w:p>
            <w:pPr>
              <w:spacing w:after="0" w:before="0" w:line="240" w:lineRule="auto"/>
            </w:pPr>
            <w:r>
              <w:rPr>
                <w:sz w:val="13"/>
              </w:rPr>
              <w:t>P0</w:t>
            </w:r>
          </w:p>
        </w:tc>
        <w:tc>
          <w:tcPr>
            <w:tcW w:type="dxa" w:w="2494"/>
            <w:tcMar>
              <w:top w:w="40" w:type="dxa"/>
              <w:start w:w="40" w:type="dxa"/>
              <w:bottom w:w="40" w:type="dxa"/>
              <w:end w:w="40" w:type="dxa"/>
            </w:tcMar>
            <w:vAlign w:val="top"/>
          </w:tcPr>
          <w:p>
            <w:pPr>
              <w:spacing w:after="0" w:before="0" w:line="240" w:lineRule="auto"/>
            </w:pPr>
            <w:r>
              <w:rPr>
                <w:sz w:val="13"/>
              </w:rPr>
              <w:t>Im Repo-Audit zu materialisieren</w:t>
            </w:r>
          </w:p>
        </w:tc>
        <w:tc>
          <w:tcPr>
            <w:tcW w:type="dxa" w:w="2551"/>
            <w:tcMar>
              <w:top w:w="40" w:type="dxa"/>
              <w:start w:w="40" w:type="dxa"/>
              <w:bottom w:w="40" w:type="dxa"/>
              <w:end w:w="40" w:type="dxa"/>
            </w:tcMar>
            <w:vAlign w:val="top"/>
          </w:tcPr>
          <w:p>
            <w:pPr>
              <w:spacing w:after="0" w:before="0" w:line="240" w:lineRule="auto"/>
            </w:pPr>
            <w:r>
              <w:rPr>
                <w:sz w:val="13"/>
              </w:rPr>
              <w:t>Maschinenlesbare Mapping-Tabelle</w:t>
            </w:r>
          </w:p>
        </w:tc>
      </w:tr>
      <w:tr>
        <w:trPr>
          <w:trHeight w:hRule="atLeast"/>
        </w:trPr>
        <w:tc>
          <w:tcPr>
            <w:tcW w:type="dxa" w:w="567"/>
            <w:tcMar>
              <w:top w:w="40" w:type="dxa"/>
              <w:start w:w="40" w:type="dxa"/>
              <w:bottom w:w="40" w:type="dxa"/>
              <w:end w:w="40" w:type="dxa"/>
            </w:tcMar>
            <w:vAlign w:val="top"/>
          </w:tcPr>
          <w:p>
            <w:pPr>
              <w:spacing w:after="0" w:before="0" w:line="240" w:lineRule="auto"/>
            </w:pPr>
            <w:r>
              <w:rPr>
                <w:b/>
                <w:color w:val="002A5B"/>
                <w:sz w:val="13"/>
              </w:rPr>
              <w:t>M3</w:t>
            </w:r>
          </w:p>
        </w:tc>
        <w:tc>
          <w:tcPr>
            <w:tcW w:type="dxa" w:w="2891"/>
            <w:tcMar>
              <w:top w:w="40" w:type="dxa"/>
              <w:start w:w="40" w:type="dxa"/>
              <w:bottom w:w="40" w:type="dxa"/>
              <w:end w:w="40" w:type="dxa"/>
            </w:tcMar>
            <w:vAlign w:val="top"/>
          </w:tcPr>
          <w:p>
            <w:pPr>
              <w:spacing w:after="0" w:before="0" w:line="240" w:lineRule="auto"/>
            </w:pPr>
            <w:r>
              <w:rPr>
                <w:sz w:val="13"/>
              </w:rPr>
              <w:t>Reifegrad- und Claim-Governance</w:t>
            </w:r>
          </w:p>
        </w:tc>
        <w:tc>
          <w:tcPr>
            <w:tcW w:type="dxa" w:w="907"/>
            <w:tcMar>
              <w:top w:w="40" w:type="dxa"/>
              <w:start w:w="40" w:type="dxa"/>
              <w:bottom w:w="40" w:type="dxa"/>
              <w:end w:w="40" w:type="dxa"/>
            </w:tcMar>
            <w:vAlign w:val="top"/>
          </w:tcPr>
          <w:p>
            <w:pPr>
              <w:spacing w:after="0" w:before="0" w:line="240" w:lineRule="auto"/>
            </w:pPr>
            <w:r>
              <w:rPr>
                <w:sz w:val="13"/>
              </w:rPr>
              <w:t>P0</w:t>
            </w:r>
          </w:p>
        </w:tc>
        <w:tc>
          <w:tcPr>
            <w:tcW w:type="dxa" w:w="2494"/>
            <w:tcMar>
              <w:top w:w="40" w:type="dxa"/>
              <w:start w:w="40" w:type="dxa"/>
              <w:bottom w:w="40" w:type="dxa"/>
              <w:end w:w="40" w:type="dxa"/>
            </w:tcMar>
            <w:vAlign w:val="top"/>
          </w:tcPr>
          <w:p>
            <w:pPr>
              <w:spacing w:after="0" w:before="0" w:line="240" w:lineRule="auto"/>
            </w:pPr>
            <w:r>
              <w:rPr>
                <w:sz w:val="13"/>
              </w:rPr>
              <w:t>In dieser SSoT definiert</w:t>
            </w:r>
          </w:p>
        </w:tc>
        <w:tc>
          <w:tcPr>
            <w:tcW w:type="dxa" w:w="2551"/>
            <w:tcMar>
              <w:top w:w="40" w:type="dxa"/>
              <w:start w:w="40" w:type="dxa"/>
              <w:bottom w:w="40" w:type="dxa"/>
              <w:end w:w="40" w:type="dxa"/>
            </w:tcMar>
            <w:vAlign w:val="top"/>
          </w:tcPr>
          <w:p>
            <w:pPr>
              <w:spacing w:after="0" w:before="0" w:line="240" w:lineRule="auto"/>
            </w:pPr>
            <w:r>
              <w:rPr>
                <w:sz w:val="13"/>
              </w:rPr>
              <w:t>UI/Website markieren Status</w:t>
            </w:r>
          </w:p>
        </w:tc>
      </w:tr>
      <w:tr>
        <w:trPr>
          <w:trHeight w:hRule="atLeast"/>
        </w:trPr>
        <w:tc>
          <w:tcPr>
            <w:tcW w:type="dxa" w:w="567"/>
            <w:tcMar>
              <w:top w:w="40" w:type="dxa"/>
              <w:start w:w="40" w:type="dxa"/>
              <w:bottom w:w="40" w:type="dxa"/>
              <w:end w:w="40" w:type="dxa"/>
            </w:tcMar>
            <w:vAlign w:val="top"/>
          </w:tcPr>
          <w:p>
            <w:pPr>
              <w:spacing w:after="0" w:before="0" w:line="240" w:lineRule="auto"/>
            </w:pPr>
            <w:r>
              <w:rPr>
                <w:b/>
                <w:color w:val="002A5B"/>
                <w:sz w:val="13"/>
              </w:rPr>
              <w:t>M4</w:t>
            </w:r>
          </w:p>
        </w:tc>
        <w:tc>
          <w:tcPr>
            <w:tcW w:type="dxa" w:w="2891"/>
            <w:tcMar>
              <w:top w:w="40" w:type="dxa"/>
              <w:start w:w="40" w:type="dxa"/>
              <w:bottom w:w="40" w:type="dxa"/>
              <w:end w:w="40" w:type="dxa"/>
            </w:tcMar>
            <w:vAlign w:val="top"/>
          </w:tcPr>
          <w:p>
            <w:pPr>
              <w:spacing w:after="0" w:before="0" w:line="240" w:lineRule="auto"/>
            </w:pPr>
            <w:r>
              <w:rPr>
                <w:sz w:val="13"/>
              </w:rPr>
              <w:t>Legal-Mindestkonzept</w:t>
            </w:r>
          </w:p>
        </w:tc>
        <w:tc>
          <w:tcPr>
            <w:tcW w:type="dxa" w:w="907"/>
            <w:tcMar>
              <w:top w:w="40" w:type="dxa"/>
              <w:start w:w="40" w:type="dxa"/>
              <w:bottom w:w="40" w:type="dxa"/>
              <w:end w:w="40" w:type="dxa"/>
            </w:tcMar>
            <w:vAlign w:val="top"/>
          </w:tcPr>
          <w:p>
            <w:pPr>
              <w:spacing w:after="0" w:before="0" w:line="240" w:lineRule="auto"/>
            </w:pPr>
            <w:r>
              <w:rPr>
                <w:sz w:val="13"/>
              </w:rPr>
              <w:t>P0</w:t>
            </w:r>
          </w:p>
        </w:tc>
        <w:tc>
          <w:tcPr>
            <w:tcW w:type="dxa" w:w="2494"/>
            <w:tcMar>
              <w:top w:w="40" w:type="dxa"/>
              <w:start w:w="40" w:type="dxa"/>
              <w:bottom w:w="40" w:type="dxa"/>
              <w:end w:w="40" w:type="dxa"/>
            </w:tcMar>
            <w:vAlign w:val="top"/>
          </w:tcPr>
          <w:p>
            <w:pPr>
              <w:spacing w:after="0" w:before="0" w:line="240" w:lineRule="auto"/>
            </w:pPr>
            <w:r>
              <w:rPr>
                <w:sz w:val="13"/>
              </w:rPr>
              <w:t>Externe Fachprüfung offen</w:t>
            </w:r>
          </w:p>
        </w:tc>
        <w:tc>
          <w:tcPr>
            <w:tcW w:type="dxa" w:w="2551"/>
            <w:tcMar>
              <w:top w:w="40" w:type="dxa"/>
              <w:start w:w="40" w:type="dxa"/>
              <w:bottom w:w="40" w:type="dxa"/>
              <w:end w:w="40" w:type="dxa"/>
            </w:tcMar>
            <w:vAlign w:val="top"/>
          </w:tcPr>
          <w:p>
            <w:pPr>
              <w:spacing w:after="0" w:before="0" w:line="240" w:lineRule="auto"/>
            </w:pPr>
            <w:r>
              <w:rPr>
                <w:sz w:val="13"/>
              </w:rPr>
              <w:t>Freigegebene Legal-Matrix</w:t>
            </w:r>
          </w:p>
        </w:tc>
      </w:tr>
      <w:tr>
        <w:trPr>
          <w:trHeight w:hRule="atLeast"/>
        </w:trPr>
        <w:tc>
          <w:tcPr>
            <w:tcW w:type="dxa" w:w="567"/>
            <w:tcMar>
              <w:top w:w="40" w:type="dxa"/>
              <w:start w:w="40" w:type="dxa"/>
              <w:bottom w:w="40" w:type="dxa"/>
              <w:end w:w="40" w:type="dxa"/>
            </w:tcMar>
            <w:vAlign w:val="top"/>
          </w:tcPr>
          <w:p>
            <w:pPr>
              <w:spacing w:after="0" w:before="0" w:line="240" w:lineRule="auto"/>
            </w:pPr>
            <w:r>
              <w:rPr>
                <w:b/>
                <w:color w:val="002A5B"/>
                <w:sz w:val="13"/>
              </w:rPr>
              <w:t>M5</w:t>
            </w:r>
          </w:p>
        </w:tc>
        <w:tc>
          <w:tcPr>
            <w:tcW w:type="dxa" w:w="2891"/>
            <w:tcMar>
              <w:top w:w="40" w:type="dxa"/>
              <w:start w:w="40" w:type="dxa"/>
              <w:bottom w:w="40" w:type="dxa"/>
              <w:end w:w="40" w:type="dxa"/>
            </w:tcMar>
            <w:vAlign w:val="top"/>
          </w:tcPr>
          <w:p>
            <w:pPr>
              <w:spacing w:after="0" w:before="0" w:line="240" w:lineRule="auto"/>
            </w:pPr>
            <w:r>
              <w:rPr>
                <w:sz w:val="13"/>
              </w:rPr>
              <w:t>Neutralitäts- und Conflict-of-Interest-Policy</w:t>
            </w:r>
          </w:p>
        </w:tc>
        <w:tc>
          <w:tcPr>
            <w:tcW w:type="dxa" w:w="907"/>
            <w:tcMar>
              <w:top w:w="40" w:type="dxa"/>
              <w:start w:w="40" w:type="dxa"/>
              <w:bottom w:w="40" w:type="dxa"/>
              <w:end w:w="40" w:type="dxa"/>
            </w:tcMar>
            <w:vAlign w:val="top"/>
          </w:tcPr>
          <w:p>
            <w:pPr>
              <w:spacing w:after="0" w:before="0" w:line="240" w:lineRule="auto"/>
            </w:pPr>
            <w:r>
              <w:rPr>
                <w:sz w:val="13"/>
              </w:rPr>
              <w:t>P0</w:t>
            </w:r>
          </w:p>
        </w:tc>
        <w:tc>
          <w:tcPr>
            <w:tcW w:type="dxa" w:w="2494"/>
            <w:tcMar>
              <w:top w:w="40" w:type="dxa"/>
              <w:start w:w="40" w:type="dxa"/>
              <w:bottom w:w="40" w:type="dxa"/>
              <w:end w:w="40" w:type="dxa"/>
            </w:tcMar>
            <w:vAlign w:val="top"/>
          </w:tcPr>
          <w:p>
            <w:pPr>
              <w:spacing w:after="0" w:before="0" w:line="240" w:lineRule="auto"/>
            </w:pPr>
            <w:r>
              <w:rPr>
                <w:sz w:val="13"/>
              </w:rPr>
              <w:t>Inhalt definiert; Betriebsaudit offen</w:t>
            </w:r>
          </w:p>
        </w:tc>
        <w:tc>
          <w:tcPr>
            <w:tcW w:type="dxa" w:w="2551"/>
            <w:tcMar>
              <w:top w:w="40" w:type="dxa"/>
              <w:start w:w="40" w:type="dxa"/>
              <w:bottom w:w="40" w:type="dxa"/>
              <w:end w:w="40" w:type="dxa"/>
            </w:tcMar>
            <w:vAlign w:val="top"/>
          </w:tcPr>
          <w:p>
            <w:pPr>
              <w:spacing w:after="0" w:before="0" w:line="240" w:lineRule="auto"/>
            </w:pPr>
            <w:r>
              <w:rPr>
                <w:sz w:val="13"/>
              </w:rPr>
              <w:t>Rollen, Recusal, Logs und Review</w:t>
            </w:r>
          </w:p>
        </w:tc>
      </w:tr>
      <w:tr>
        <w:trPr>
          <w:trHeight w:hRule="atLeast"/>
        </w:trPr>
        <w:tc>
          <w:tcPr>
            <w:tcW w:type="dxa" w:w="567"/>
            <w:tcMar>
              <w:top w:w="40" w:type="dxa"/>
              <w:start w:w="40" w:type="dxa"/>
              <w:bottom w:w="40" w:type="dxa"/>
              <w:end w:w="40" w:type="dxa"/>
            </w:tcMar>
            <w:vAlign w:val="top"/>
          </w:tcPr>
          <w:p>
            <w:pPr>
              <w:spacing w:after="0" w:before="0" w:line="240" w:lineRule="auto"/>
            </w:pPr>
            <w:r>
              <w:rPr>
                <w:b/>
                <w:color w:val="002A5B"/>
                <w:sz w:val="13"/>
              </w:rPr>
              <w:t>M6</w:t>
            </w:r>
          </w:p>
        </w:tc>
        <w:tc>
          <w:tcPr>
            <w:tcW w:type="dxa" w:w="2891"/>
            <w:tcMar>
              <w:top w:w="40" w:type="dxa"/>
              <w:start w:w="40" w:type="dxa"/>
              <w:bottom w:w="40" w:type="dxa"/>
              <w:end w:w="40" w:type="dxa"/>
            </w:tcMar>
            <w:vAlign w:val="top"/>
          </w:tcPr>
          <w:p>
            <w:pPr>
              <w:spacing w:after="0" w:before="0" w:line="240" w:lineRule="auto"/>
            </w:pPr>
            <w:r>
              <w:rPr>
                <w:sz w:val="13"/>
              </w:rPr>
              <w:t>Owner-Decision-Register</w:t>
            </w:r>
          </w:p>
        </w:tc>
        <w:tc>
          <w:tcPr>
            <w:tcW w:type="dxa" w:w="907"/>
            <w:tcMar>
              <w:top w:w="40" w:type="dxa"/>
              <w:start w:w="40" w:type="dxa"/>
              <w:bottom w:w="40" w:type="dxa"/>
              <w:end w:w="40" w:type="dxa"/>
            </w:tcMar>
            <w:vAlign w:val="top"/>
          </w:tcPr>
          <w:p>
            <w:pPr>
              <w:spacing w:after="0" w:before="0" w:line="240" w:lineRule="auto"/>
            </w:pPr>
            <w:r>
              <w:rPr>
                <w:sz w:val="13"/>
              </w:rPr>
              <w:t>P0</w:t>
            </w:r>
          </w:p>
        </w:tc>
        <w:tc>
          <w:tcPr>
            <w:tcW w:type="dxa" w:w="2494"/>
            <w:tcMar>
              <w:top w:w="40" w:type="dxa"/>
              <w:start w:w="40" w:type="dxa"/>
              <w:bottom w:w="40" w:type="dxa"/>
              <w:end w:w="40" w:type="dxa"/>
            </w:tcMar>
            <w:vAlign w:val="top"/>
          </w:tcPr>
          <w:p>
            <w:pPr>
              <w:spacing w:after="0" w:before="0" w:line="240" w:lineRule="auto"/>
            </w:pPr>
            <w:r>
              <w:rPr>
                <w:sz w:val="13"/>
              </w:rPr>
              <w:t>Grundentscheidungen ratifiziert</w:t>
            </w:r>
          </w:p>
        </w:tc>
        <w:tc>
          <w:tcPr>
            <w:tcW w:type="dxa" w:w="2551"/>
            <w:tcMar>
              <w:top w:w="40" w:type="dxa"/>
              <w:start w:w="40" w:type="dxa"/>
              <w:bottom w:w="40" w:type="dxa"/>
              <w:end w:w="40" w:type="dxa"/>
            </w:tcMar>
            <w:vAlign w:val="top"/>
          </w:tcPr>
          <w:p>
            <w:pPr>
              <w:spacing w:after="0" w:before="0" w:line="240" w:lineRule="auto"/>
            </w:pPr>
            <w:r>
              <w:rPr>
                <w:sz w:val="13"/>
              </w:rPr>
              <w:t>ODRs versioniert</w:t>
            </w:r>
          </w:p>
        </w:tc>
      </w:tr>
      <w:tr>
        <w:trPr>
          <w:trHeight w:hRule="atLeast"/>
        </w:trPr>
        <w:tc>
          <w:tcPr>
            <w:tcW w:type="dxa" w:w="567"/>
            <w:tcMar>
              <w:top w:w="40" w:type="dxa"/>
              <w:start w:w="40" w:type="dxa"/>
              <w:bottom w:w="40" w:type="dxa"/>
              <w:end w:w="40" w:type="dxa"/>
            </w:tcMar>
            <w:vAlign w:val="top"/>
          </w:tcPr>
          <w:p>
            <w:pPr>
              <w:spacing w:after="0" w:before="0" w:line="240" w:lineRule="auto"/>
            </w:pPr>
            <w:r>
              <w:rPr>
                <w:b/>
                <w:color w:val="002A5B"/>
                <w:sz w:val="13"/>
              </w:rPr>
              <w:t>M7</w:t>
            </w:r>
          </w:p>
        </w:tc>
        <w:tc>
          <w:tcPr>
            <w:tcW w:type="dxa" w:w="2891"/>
            <w:tcMar>
              <w:top w:w="40" w:type="dxa"/>
              <w:start w:w="40" w:type="dxa"/>
              <w:bottom w:w="40" w:type="dxa"/>
              <w:end w:w="40" w:type="dxa"/>
            </w:tcMar>
            <w:vAlign w:val="top"/>
          </w:tcPr>
          <w:p>
            <w:pPr>
              <w:spacing w:after="0" w:before="0" w:line="240" w:lineRule="auto"/>
            </w:pPr>
            <w:r>
              <w:rPr>
                <w:sz w:val="13"/>
              </w:rPr>
              <w:t>Zweiseitiger USP</w:t>
            </w:r>
          </w:p>
        </w:tc>
        <w:tc>
          <w:tcPr>
            <w:tcW w:type="dxa" w:w="907"/>
            <w:tcMar>
              <w:top w:w="40" w:type="dxa"/>
              <w:start w:w="40" w:type="dxa"/>
              <w:bottom w:w="40" w:type="dxa"/>
              <w:end w:w="40" w:type="dxa"/>
            </w:tcMar>
            <w:vAlign w:val="top"/>
          </w:tcPr>
          <w:p>
            <w:pPr>
              <w:spacing w:after="0" w:before="0" w:line="240" w:lineRule="auto"/>
            </w:pPr>
            <w:r>
              <w:rPr>
                <w:sz w:val="13"/>
              </w:rPr>
              <w:t>P1</w:t>
            </w:r>
          </w:p>
        </w:tc>
        <w:tc>
          <w:tcPr>
            <w:tcW w:type="dxa" w:w="2494"/>
            <w:tcMar>
              <w:top w:w="40" w:type="dxa"/>
              <w:start w:w="40" w:type="dxa"/>
              <w:bottom w:w="40" w:type="dxa"/>
              <w:end w:w="40" w:type="dxa"/>
            </w:tcMar>
            <w:vAlign w:val="top"/>
          </w:tcPr>
          <w:p>
            <w:pPr>
              <w:spacing w:after="0" w:before="0" w:line="240" w:lineRule="auto"/>
            </w:pPr>
            <w:r>
              <w:rPr>
                <w:sz w:val="13"/>
              </w:rPr>
              <w:t>In dieser SSoT definiert</w:t>
            </w:r>
          </w:p>
        </w:tc>
        <w:tc>
          <w:tcPr>
            <w:tcW w:type="dxa" w:w="2551"/>
            <w:tcMar>
              <w:top w:w="40" w:type="dxa"/>
              <w:start w:w="40" w:type="dxa"/>
              <w:bottom w:w="40" w:type="dxa"/>
              <w:end w:w="40" w:type="dxa"/>
            </w:tcMar>
            <w:vAlign w:val="top"/>
          </w:tcPr>
          <w:p>
            <w:pPr>
              <w:spacing w:after="0" w:before="0" w:line="240" w:lineRule="auto"/>
            </w:pPr>
            <w:r>
              <w:rPr>
                <w:sz w:val="13"/>
              </w:rPr>
              <w:t>Website und Sales konsistent</w:t>
            </w:r>
          </w:p>
        </w:tc>
      </w:tr>
      <w:tr>
        <w:trPr>
          <w:trHeight w:hRule="atLeast"/>
        </w:trPr>
        <w:tc>
          <w:tcPr>
            <w:tcW w:type="dxa" w:w="567"/>
            <w:tcMar>
              <w:top w:w="40" w:type="dxa"/>
              <w:start w:w="40" w:type="dxa"/>
              <w:bottom w:w="40" w:type="dxa"/>
              <w:end w:w="40" w:type="dxa"/>
            </w:tcMar>
            <w:vAlign w:val="top"/>
          </w:tcPr>
          <w:p>
            <w:pPr>
              <w:spacing w:after="0" w:before="0" w:line="240" w:lineRule="auto"/>
            </w:pPr>
            <w:r>
              <w:rPr>
                <w:b/>
                <w:color w:val="002A5B"/>
                <w:sz w:val="13"/>
              </w:rPr>
              <w:t>M8</w:t>
            </w:r>
          </w:p>
        </w:tc>
        <w:tc>
          <w:tcPr>
            <w:tcW w:type="dxa" w:w="2891"/>
            <w:tcMar>
              <w:top w:w="40" w:type="dxa"/>
              <w:start w:w="40" w:type="dxa"/>
              <w:bottom w:w="40" w:type="dxa"/>
              <w:end w:w="40" w:type="dxa"/>
            </w:tcMar>
            <w:vAlign w:val="top"/>
          </w:tcPr>
          <w:p>
            <w:pPr>
              <w:spacing w:after="0" w:before="0" w:line="240" w:lineRule="auto"/>
            </w:pPr>
            <w:r>
              <w:rPr>
                <w:sz w:val="13"/>
              </w:rPr>
              <w:t>Capability Profile v0 in H2</w:t>
            </w:r>
          </w:p>
        </w:tc>
        <w:tc>
          <w:tcPr>
            <w:tcW w:type="dxa" w:w="907"/>
            <w:tcMar>
              <w:top w:w="40" w:type="dxa"/>
              <w:start w:w="40" w:type="dxa"/>
              <w:bottom w:w="40" w:type="dxa"/>
              <w:end w:w="40" w:type="dxa"/>
            </w:tcMar>
            <w:vAlign w:val="top"/>
          </w:tcPr>
          <w:p>
            <w:pPr>
              <w:spacing w:after="0" w:before="0" w:line="240" w:lineRule="auto"/>
            </w:pPr>
            <w:r>
              <w:rPr>
                <w:sz w:val="13"/>
              </w:rPr>
              <w:t>P1</w:t>
            </w:r>
          </w:p>
        </w:tc>
        <w:tc>
          <w:tcPr>
            <w:tcW w:type="dxa" w:w="2494"/>
            <w:tcMar>
              <w:top w:w="40" w:type="dxa"/>
              <w:start w:w="40" w:type="dxa"/>
              <w:bottom w:w="40" w:type="dxa"/>
              <w:end w:w="40" w:type="dxa"/>
            </w:tcMar>
            <w:vAlign w:val="top"/>
          </w:tcPr>
          <w:p>
            <w:pPr>
              <w:spacing w:after="0" w:before="0" w:line="240" w:lineRule="auto"/>
            </w:pPr>
            <w:r>
              <w:rPr>
                <w:sz w:val="13"/>
              </w:rPr>
              <w:t>Schema umzusetzen</w:t>
            </w:r>
          </w:p>
        </w:tc>
        <w:tc>
          <w:tcPr>
            <w:tcW w:type="dxa" w:w="2551"/>
            <w:tcMar>
              <w:top w:w="40" w:type="dxa"/>
              <w:start w:w="40" w:type="dxa"/>
              <w:bottom w:w="40" w:type="dxa"/>
              <w:end w:w="40" w:type="dxa"/>
            </w:tcMar>
            <w:vAlign w:val="top"/>
          </w:tcPr>
          <w:p>
            <w:pPr>
              <w:spacing w:after="0" w:before="0" w:line="240" w:lineRule="auto"/>
            </w:pPr>
            <w:r>
              <w:rPr>
                <w:sz w:val="13"/>
              </w:rPr>
              <w:t>Pilotfähiges Herstellerprofil</w:t>
            </w:r>
          </w:p>
        </w:tc>
      </w:tr>
      <w:tr>
        <w:trPr>
          <w:trHeight w:hRule="atLeast"/>
        </w:trPr>
        <w:tc>
          <w:tcPr>
            <w:tcW w:type="dxa" w:w="567"/>
            <w:tcMar>
              <w:top w:w="40" w:type="dxa"/>
              <w:start w:w="40" w:type="dxa"/>
              <w:bottom w:w="40" w:type="dxa"/>
              <w:end w:w="40" w:type="dxa"/>
            </w:tcMar>
            <w:vAlign w:val="top"/>
          </w:tcPr>
          <w:p>
            <w:pPr>
              <w:spacing w:after="0" w:before="0" w:line="240" w:lineRule="auto"/>
            </w:pPr>
            <w:r>
              <w:rPr>
                <w:b/>
                <w:color w:val="002A5B"/>
                <w:sz w:val="13"/>
              </w:rPr>
              <w:t>M9</w:t>
            </w:r>
          </w:p>
        </w:tc>
        <w:tc>
          <w:tcPr>
            <w:tcW w:type="dxa" w:w="2891"/>
            <w:tcMar>
              <w:top w:w="40" w:type="dxa"/>
              <w:start w:w="40" w:type="dxa"/>
              <w:bottom w:w="40" w:type="dxa"/>
              <w:end w:w="40" w:type="dxa"/>
            </w:tcMar>
            <w:vAlign w:val="top"/>
          </w:tcPr>
          <w:p>
            <w:pPr>
              <w:spacing w:after="0" w:before="0" w:line="240" w:lineRule="auto"/>
            </w:pPr>
            <w:r>
              <w:rPr>
                <w:sz w:val="13"/>
              </w:rPr>
              <w:t>Homepage vereinfachen und Demos kennzeichnen</w:t>
            </w:r>
          </w:p>
        </w:tc>
        <w:tc>
          <w:tcPr>
            <w:tcW w:type="dxa" w:w="907"/>
            <w:tcMar>
              <w:top w:w="40" w:type="dxa"/>
              <w:start w:w="40" w:type="dxa"/>
              <w:bottom w:w="40" w:type="dxa"/>
              <w:end w:w="40" w:type="dxa"/>
            </w:tcMar>
            <w:vAlign w:val="top"/>
          </w:tcPr>
          <w:p>
            <w:pPr>
              <w:spacing w:after="0" w:before="0" w:line="240" w:lineRule="auto"/>
            </w:pPr>
            <w:r>
              <w:rPr>
                <w:sz w:val="13"/>
              </w:rPr>
              <w:t>P1</w:t>
            </w:r>
          </w:p>
        </w:tc>
        <w:tc>
          <w:tcPr>
            <w:tcW w:type="dxa" w:w="2494"/>
            <w:tcMar>
              <w:top w:w="40" w:type="dxa"/>
              <w:start w:w="40" w:type="dxa"/>
              <w:bottom w:w="40" w:type="dxa"/>
              <w:end w:w="40" w:type="dxa"/>
            </w:tcMar>
            <w:vAlign w:val="top"/>
          </w:tcPr>
          <w:p>
            <w:pPr>
              <w:spacing w:after="0" w:before="0" w:line="240" w:lineRule="auto"/>
            </w:pPr>
            <w:r>
              <w:rPr>
                <w:sz w:val="13"/>
              </w:rPr>
              <w:t>Sollbild definiert</w:t>
            </w:r>
          </w:p>
        </w:tc>
        <w:tc>
          <w:tcPr>
            <w:tcW w:type="dxa" w:w="2551"/>
            <w:tcMar>
              <w:top w:w="40" w:type="dxa"/>
              <w:start w:w="40" w:type="dxa"/>
              <w:bottom w:w="40" w:type="dxa"/>
              <w:end w:w="40" w:type="dxa"/>
            </w:tcMar>
            <w:vAlign w:val="top"/>
          </w:tcPr>
          <w:p>
            <w:pPr>
              <w:spacing w:after="0" w:before="0" w:line="240" w:lineRule="auto"/>
            </w:pPr>
            <w:r>
              <w:rPr>
                <w:sz w:val="13"/>
              </w:rPr>
              <w:t>Prototyp + Usability-Test</w:t>
            </w:r>
          </w:p>
        </w:tc>
      </w:tr>
      <w:tr>
        <w:trPr>
          <w:trHeight w:hRule="atLeast"/>
        </w:trPr>
        <w:tc>
          <w:tcPr>
            <w:tcW w:type="dxa" w:w="567"/>
            <w:tcMar>
              <w:top w:w="40" w:type="dxa"/>
              <w:start w:w="40" w:type="dxa"/>
              <w:bottom w:w="40" w:type="dxa"/>
              <w:end w:w="40" w:type="dxa"/>
            </w:tcMar>
            <w:vAlign w:val="top"/>
          </w:tcPr>
          <w:p>
            <w:pPr>
              <w:spacing w:after="0" w:before="0" w:line="240" w:lineRule="auto"/>
            </w:pPr>
            <w:r>
              <w:rPr>
                <w:b/>
                <w:color w:val="002A5B"/>
                <w:sz w:val="13"/>
              </w:rPr>
              <w:t>M10</w:t>
            </w:r>
          </w:p>
        </w:tc>
        <w:tc>
          <w:tcPr>
            <w:tcW w:type="dxa" w:w="2891"/>
            <w:tcMar>
              <w:top w:w="40" w:type="dxa"/>
              <w:start w:w="40" w:type="dxa"/>
              <w:bottom w:w="40" w:type="dxa"/>
              <w:end w:w="40" w:type="dxa"/>
            </w:tcMar>
            <w:vAlign w:val="top"/>
          </w:tcPr>
          <w:p>
            <w:pPr>
              <w:spacing w:after="0" w:before="0" w:line="240" w:lineRule="auto"/>
            </w:pPr>
            <w:r>
              <w:rPr>
                <w:sz w:val="13"/>
              </w:rPr>
              <w:t>Pain Evidence Ledger</w:t>
            </w:r>
          </w:p>
        </w:tc>
        <w:tc>
          <w:tcPr>
            <w:tcW w:type="dxa" w:w="907"/>
            <w:tcMar>
              <w:top w:w="40" w:type="dxa"/>
              <w:start w:w="40" w:type="dxa"/>
              <w:bottom w:w="40" w:type="dxa"/>
              <w:end w:w="40" w:type="dxa"/>
            </w:tcMar>
            <w:vAlign w:val="top"/>
          </w:tcPr>
          <w:p>
            <w:pPr>
              <w:spacing w:after="0" w:before="0" w:line="240" w:lineRule="auto"/>
            </w:pPr>
            <w:r>
              <w:rPr>
                <w:sz w:val="13"/>
              </w:rPr>
              <w:t>P1</w:t>
            </w:r>
          </w:p>
        </w:tc>
        <w:tc>
          <w:tcPr>
            <w:tcW w:type="dxa" w:w="2494"/>
            <w:tcMar>
              <w:top w:w="40" w:type="dxa"/>
              <w:start w:w="40" w:type="dxa"/>
              <w:bottom w:w="40" w:type="dxa"/>
              <w:end w:w="40" w:type="dxa"/>
            </w:tcMar>
            <w:vAlign w:val="top"/>
          </w:tcPr>
          <w:p>
            <w:pPr>
              <w:spacing w:after="0" w:before="0" w:line="240" w:lineRule="auto"/>
            </w:pPr>
            <w:r>
              <w:rPr>
                <w:sz w:val="13"/>
              </w:rPr>
              <w:t>Methodik definiert</w:t>
            </w:r>
          </w:p>
        </w:tc>
        <w:tc>
          <w:tcPr>
            <w:tcW w:type="dxa" w:w="2551"/>
            <w:tcMar>
              <w:top w:w="40" w:type="dxa"/>
              <w:start w:w="40" w:type="dxa"/>
              <w:bottom w:w="40" w:type="dxa"/>
              <w:end w:w="40" w:type="dxa"/>
            </w:tcMar>
            <w:vAlign w:val="top"/>
          </w:tcPr>
          <w:p>
            <w:pPr>
              <w:spacing w:after="0" w:before="0" w:line="240" w:lineRule="auto"/>
            </w:pPr>
            <w:r>
              <w:rPr>
                <w:sz w:val="13"/>
              </w:rPr>
              <w:t>Quellenregister und Validierungsstatus</w:t>
            </w:r>
          </w:p>
        </w:tc>
      </w:tr>
      <w:tr>
        <w:trPr>
          <w:trHeight w:hRule="atLeast"/>
        </w:trPr>
        <w:tc>
          <w:tcPr>
            <w:tcW w:type="dxa" w:w="567"/>
            <w:tcMar>
              <w:top w:w="40" w:type="dxa"/>
              <w:start w:w="40" w:type="dxa"/>
              <w:bottom w:w="40" w:type="dxa"/>
              <w:end w:w="40" w:type="dxa"/>
            </w:tcMar>
            <w:vAlign w:val="top"/>
          </w:tcPr>
          <w:p>
            <w:pPr>
              <w:spacing w:after="0" w:before="0" w:line="240" w:lineRule="auto"/>
            </w:pPr>
            <w:r>
              <w:rPr>
                <w:b/>
                <w:color w:val="002A5B"/>
                <w:sz w:val="13"/>
              </w:rPr>
              <w:t>M11</w:t>
            </w:r>
          </w:p>
        </w:tc>
        <w:tc>
          <w:tcPr>
            <w:tcW w:type="dxa" w:w="2891"/>
            <w:tcMar>
              <w:top w:w="40" w:type="dxa"/>
              <w:start w:w="40" w:type="dxa"/>
              <w:bottom w:w="40" w:type="dxa"/>
              <w:end w:w="40" w:type="dxa"/>
            </w:tcMar>
            <w:vAlign w:val="top"/>
          </w:tcPr>
          <w:p>
            <w:pPr>
              <w:spacing w:after="0" w:before="0" w:line="240" w:lineRule="auto"/>
            </w:pPr>
            <w:r>
              <w:rPr>
                <w:sz w:val="13"/>
              </w:rPr>
              <w:t>Operating Model und Ressourcen</w:t>
            </w:r>
          </w:p>
        </w:tc>
        <w:tc>
          <w:tcPr>
            <w:tcW w:type="dxa" w:w="907"/>
            <w:tcMar>
              <w:top w:w="40" w:type="dxa"/>
              <w:start w:w="40" w:type="dxa"/>
              <w:bottom w:w="40" w:type="dxa"/>
              <w:end w:w="40" w:type="dxa"/>
            </w:tcMar>
            <w:vAlign w:val="top"/>
          </w:tcPr>
          <w:p>
            <w:pPr>
              <w:spacing w:after="0" w:before="0" w:line="240" w:lineRule="auto"/>
            </w:pPr>
            <w:r>
              <w:rPr>
                <w:sz w:val="13"/>
              </w:rPr>
              <w:t>P2</w:t>
            </w:r>
          </w:p>
        </w:tc>
        <w:tc>
          <w:tcPr>
            <w:tcW w:type="dxa" w:w="2494"/>
            <w:tcMar>
              <w:top w:w="40" w:type="dxa"/>
              <w:start w:w="40" w:type="dxa"/>
              <w:bottom w:w="40" w:type="dxa"/>
              <w:end w:w="40" w:type="dxa"/>
            </w:tcMar>
            <w:vAlign w:val="top"/>
          </w:tcPr>
          <w:p>
            <w:pPr>
              <w:spacing w:after="0" w:before="0" w:line="240" w:lineRule="auto"/>
            </w:pPr>
            <w:r>
              <w:rPr>
                <w:sz w:val="13"/>
              </w:rPr>
              <w:t>Owner-Inputs einzupflegen</w:t>
            </w:r>
          </w:p>
        </w:tc>
        <w:tc>
          <w:tcPr>
            <w:tcW w:type="dxa" w:w="2551"/>
            <w:tcMar>
              <w:top w:w="40" w:type="dxa"/>
              <w:start w:w="40" w:type="dxa"/>
              <w:bottom w:w="40" w:type="dxa"/>
              <w:end w:w="40" w:type="dxa"/>
            </w:tcMar>
            <w:vAlign w:val="top"/>
          </w:tcPr>
          <w:p>
            <w:pPr>
              <w:spacing w:after="0" w:before="0" w:line="240" w:lineRule="auto"/>
            </w:pPr>
            <w:r>
              <w:rPr>
                <w:sz w:val="13"/>
              </w:rPr>
              <w:t>Kapazität, Budget, WIP und Stop/Go</w:t>
            </w:r>
          </w:p>
        </w:tc>
      </w:tr>
      <w:tr>
        <w:trPr>
          <w:trHeight w:hRule="atLeast"/>
        </w:trPr>
        <w:tc>
          <w:tcPr>
            <w:tcW w:type="dxa" w:w="567"/>
            <w:tcMar>
              <w:top w:w="40" w:type="dxa"/>
              <w:start w:w="40" w:type="dxa"/>
              <w:bottom w:w="40" w:type="dxa"/>
              <w:end w:w="40" w:type="dxa"/>
            </w:tcMar>
            <w:vAlign w:val="top"/>
          </w:tcPr>
          <w:p>
            <w:pPr>
              <w:spacing w:after="0" w:before="0" w:line="240" w:lineRule="auto"/>
            </w:pPr>
            <w:r>
              <w:rPr>
                <w:b/>
                <w:color w:val="002A5B"/>
                <w:sz w:val="13"/>
              </w:rPr>
              <w:t>M12</w:t>
            </w:r>
          </w:p>
        </w:tc>
        <w:tc>
          <w:tcPr>
            <w:tcW w:type="dxa" w:w="2891"/>
            <w:tcMar>
              <w:top w:w="40" w:type="dxa"/>
              <w:start w:w="40" w:type="dxa"/>
              <w:bottom w:w="40" w:type="dxa"/>
              <w:end w:w="40" w:type="dxa"/>
            </w:tcMar>
            <w:vAlign w:val="top"/>
          </w:tcPr>
          <w:p>
            <w:pPr>
              <w:spacing w:after="0" w:before="0" w:line="240" w:lineRule="auto"/>
            </w:pPr>
            <w:r>
              <w:rPr>
                <w:sz w:val="13"/>
              </w:rPr>
              <w:t>Wettbewerb und Herstelleradoption</w:t>
            </w:r>
          </w:p>
        </w:tc>
        <w:tc>
          <w:tcPr>
            <w:tcW w:type="dxa" w:w="907"/>
            <w:tcMar>
              <w:top w:w="40" w:type="dxa"/>
              <w:start w:w="40" w:type="dxa"/>
              <w:bottom w:w="40" w:type="dxa"/>
              <w:end w:w="40" w:type="dxa"/>
            </w:tcMar>
            <w:vAlign w:val="top"/>
          </w:tcPr>
          <w:p>
            <w:pPr>
              <w:spacing w:after="0" w:before="0" w:line="240" w:lineRule="auto"/>
            </w:pPr>
            <w:r>
              <w:rPr>
                <w:sz w:val="13"/>
              </w:rPr>
              <w:t>P2</w:t>
            </w:r>
          </w:p>
        </w:tc>
        <w:tc>
          <w:tcPr>
            <w:tcW w:type="dxa" w:w="2494"/>
            <w:tcMar>
              <w:top w:w="40" w:type="dxa"/>
              <w:start w:w="40" w:type="dxa"/>
              <w:bottom w:w="40" w:type="dxa"/>
              <w:end w:w="40" w:type="dxa"/>
            </w:tcMar>
            <w:vAlign w:val="top"/>
          </w:tcPr>
          <w:p>
            <w:pPr>
              <w:spacing w:after="0" w:before="0" w:line="240" w:lineRule="auto"/>
            </w:pPr>
            <w:r>
              <w:rPr>
                <w:sz w:val="13"/>
              </w:rPr>
              <w:t>Strategiegrundsätze definiert</w:t>
            </w:r>
          </w:p>
        </w:tc>
        <w:tc>
          <w:tcPr>
            <w:tcW w:type="dxa" w:w="2551"/>
            <w:tcMar>
              <w:top w:w="40" w:type="dxa"/>
              <w:start w:w="40" w:type="dxa"/>
              <w:bottom w:w="40" w:type="dxa"/>
              <w:end w:w="40" w:type="dxa"/>
            </w:tcMar>
            <w:vAlign w:val="top"/>
          </w:tcPr>
          <w:p>
            <w:pPr>
              <w:spacing w:after="0" w:before="0" w:line="240" w:lineRule="auto"/>
            </w:pPr>
            <w:r>
              <w:rPr>
                <w:sz w:val="13"/>
              </w:rPr>
              <w:t>Pilot- und Adoption-Plan</w:t>
            </w:r>
          </w:p>
        </w:tc>
      </w:tr>
      <w:tr>
        <w:trPr>
          <w:trHeight w:hRule="atLeast"/>
        </w:trPr>
        <w:tc>
          <w:tcPr>
            <w:tcW w:type="dxa" w:w="567"/>
            <w:tcMar>
              <w:top w:w="40" w:type="dxa"/>
              <w:start w:w="40" w:type="dxa"/>
              <w:bottom w:w="40" w:type="dxa"/>
              <w:end w:w="40" w:type="dxa"/>
            </w:tcMar>
            <w:vAlign w:val="top"/>
          </w:tcPr>
          <w:p>
            <w:pPr>
              <w:spacing w:after="0" w:before="0" w:line="240" w:lineRule="auto"/>
            </w:pPr>
            <w:r>
              <w:rPr>
                <w:b/>
                <w:color w:val="002A5B"/>
                <w:sz w:val="13"/>
              </w:rPr>
              <w:t>M13</w:t>
            </w:r>
          </w:p>
        </w:tc>
        <w:tc>
          <w:tcPr>
            <w:tcW w:type="dxa" w:w="2891"/>
            <w:tcMar>
              <w:top w:w="40" w:type="dxa"/>
              <w:start w:w="40" w:type="dxa"/>
              <w:bottom w:w="40" w:type="dxa"/>
              <w:end w:w="40" w:type="dxa"/>
            </w:tcMar>
            <w:vAlign w:val="top"/>
          </w:tcPr>
          <w:p>
            <w:pPr>
              <w:spacing w:after="0" w:before="0" w:line="240" w:lineRule="auto"/>
            </w:pPr>
            <w:r>
              <w:rPr>
                <w:sz w:val="13"/>
              </w:rPr>
              <w:t>GTM- und Content-Ökonomie</w:t>
            </w:r>
          </w:p>
        </w:tc>
        <w:tc>
          <w:tcPr>
            <w:tcW w:type="dxa" w:w="907"/>
            <w:tcMar>
              <w:top w:w="40" w:type="dxa"/>
              <w:start w:w="40" w:type="dxa"/>
              <w:bottom w:w="40" w:type="dxa"/>
              <w:end w:w="40" w:type="dxa"/>
            </w:tcMar>
            <w:vAlign w:val="top"/>
          </w:tcPr>
          <w:p>
            <w:pPr>
              <w:spacing w:after="0" w:before="0" w:line="240" w:lineRule="auto"/>
            </w:pPr>
            <w:r>
              <w:rPr>
                <w:sz w:val="13"/>
              </w:rPr>
              <w:t>P2</w:t>
            </w:r>
          </w:p>
        </w:tc>
        <w:tc>
          <w:tcPr>
            <w:tcW w:type="dxa" w:w="2494"/>
            <w:tcMar>
              <w:top w:w="40" w:type="dxa"/>
              <w:start w:w="40" w:type="dxa"/>
              <w:bottom w:w="40" w:type="dxa"/>
              <w:end w:w="40" w:type="dxa"/>
            </w:tcMar>
            <w:vAlign w:val="top"/>
          </w:tcPr>
          <w:p>
            <w:pPr>
              <w:spacing w:after="0" w:before="0" w:line="240" w:lineRule="auto"/>
            </w:pPr>
            <w:r>
              <w:rPr>
                <w:sz w:val="13"/>
              </w:rPr>
              <w:t>Separates ausführbares Dokument offen</w:t>
            </w:r>
          </w:p>
        </w:tc>
        <w:tc>
          <w:tcPr>
            <w:tcW w:type="dxa" w:w="2551"/>
            <w:tcMar>
              <w:top w:w="40" w:type="dxa"/>
              <w:start w:w="40" w:type="dxa"/>
              <w:bottom w:w="40" w:type="dxa"/>
              <w:end w:w="40" w:type="dxa"/>
            </w:tcMar>
            <w:vAlign w:val="top"/>
          </w:tcPr>
          <w:p>
            <w:pPr>
              <w:spacing w:after="0" w:before="0" w:line="240" w:lineRule="auto"/>
            </w:pPr>
            <w:r>
              <w:rPr>
                <w:sz w:val="13"/>
              </w:rPr>
              <w:t>ICP, Kanäle, Budget und KPIs</w:t>
            </w:r>
          </w:p>
        </w:tc>
      </w:tr>
      <w:tr>
        <w:trPr>
          <w:trHeight w:hRule="atLeast"/>
        </w:trPr>
        <w:tc>
          <w:tcPr>
            <w:tcW w:type="dxa" w:w="567"/>
            <w:tcMar>
              <w:top w:w="40" w:type="dxa"/>
              <w:start w:w="40" w:type="dxa"/>
              <w:bottom w:w="40" w:type="dxa"/>
              <w:end w:w="40" w:type="dxa"/>
            </w:tcMar>
            <w:vAlign w:val="top"/>
          </w:tcPr>
          <w:p>
            <w:pPr>
              <w:spacing w:after="0" w:before="0" w:line="240" w:lineRule="auto"/>
            </w:pPr>
            <w:r>
              <w:rPr>
                <w:b/>
                <w:color w:val="002A5B"/>
                <w:sz w:val="13"/>
              </w:rPr>
              <w:t>M14</w:t>
            </w:r>
          </w:p>
        </w:tc>
        <w:tc>
          <w:tcPr>
            <w:tcW w:type="dxa" w:w="2891"/>
            <w:tcMar>
              <w:top w:w="40" w:type="dxa"/>
              <w:start w:w="40" w:type="dxa"/>
              <w:bottom w:w="40" w:type="dxa"/>
              <w:end w:w="40" w:type="dxa"/>
            </w:tcMar>
            <w:vAlign w:val="top"/>
          </w:tcPr>
          <w:p>
            <w:pPr>
              <w:spacing w:after="0" w:before="0" w:line="240" w:lineRule="auto"/>
            </w:pPr>
            <w:r>
              <w:rPr>
                <w:sz w:val="13"/>
              </w:rPr>
              <w:t>Minimal-Viable-Outcome</w:t>
            </w:r>
          </w:p>
        </w:tc>
        <w:tc>
          <w:tcPr>
            <w:tcW w:type="dxa" w:w="907"/>
            <w:tcMar>
              <w:top w:w="40" w:type="dxa"/>
              <w:start w:w="40" w:type="dxa"/>
              <w:bottom w:w="40" w:type="dxa"/>
              <w:end w:w="40" w:type="dxa"/>
            </w:tcMar>
            <w:vAlign w:val="top"/>
          </w:tcPr>
          <w:p>
            <w:pPr>
              <w:spacing w:after="0" w:before="0" w:line="240" w:lineRule="auto"/>
            </w:pPr>
            <w:r>
              <w:rPr>
                <w:sz w:val="13"/>
              </w:rPr>
              <w:t>P2</w:t>
            </w:r>
          </w:p>
        </w:tc>
        <w:tc>
          <w:tcPr>
            <w:tcW w:type="dxa" w:w="2494"/>
            <w:tcMar>
              <w:top w:w="40" w:type="dxa"/>
              <w:start w:w="40" w:type="dxa"/>
              <w:bottom w:w="40" w:type="dxa"/>
              <w:end w:w="40" w:type="dxa"/>
            </w:tcMar>
            <w:vAlign w:val="top"/>
          </w:tcPr>
          <w:p>
            <w:pPr>
              <w:spacing w:after="0" w:before="0" w:line="240" w:lineRule="auto"/>
            </w:pPr>
            <w:r>
              <w:rPr>
                <w:sz w:val="13"/>
              </w:rPr>
              <w:t>Stufenmodell ratifiziert</w:t>
            </w:r>
          </w:p>
        </w:tc>
        <w:tc>
          <w:tcPr>
            <w:tcW w:type="dxa" w:w="2551"/>
            <w:tcMar>
              <w:top w:w="40" w:type="dxa"/>
              <w:start w:w="40" w:type="dxa"/>
              <w:bottom w:w="40" w:type="dxa"/>
              <w:end w:w="40" w:type="dxa"/>
            </w:tcMar>
            <w:vAlign w:val="top"/>
          </w:tcPr>
          <w:p>
            <w:pPr>
              <w:spacing w:after="0" w:before="0" w:line="240" w:lineRule="auto"/>
            </w:pPr>
            <w:r>
              <w:rPr>
                <w:sz w:val="13"/>
              </w:rPr>
              <w:t>Erste passive/einfache Signale live</w:t>
            </w:r>
          </w:p>
        </w:tc>
      </w:tr>
      <w:tr>
        <w:trPr>
          <w:trHeight w:hRule="atLeast"/>
        </w:trPr>
        <w:tc>
          <w:tcPr>
            <w:tcW w:type="dxa" w:w="567"/>
            <w:tcMar>
              <w:top w:w="40" w:type="dxa"/>
              <w:start w:w="40" w:type="dxa"/>
              <w:bottom w:w="40" w:type="dxa"/>
              <w:end w:w="40" w:type="dxa"/>
            </w:tcMar>
            <w:vAlign w:val="top"/>
          </w:tcPr>
          <w:p>
            <w:pPr>
              <w:spacing w:after="0" w:before="0" w:line="240" w:lineRule="auto"/>
            </w:pPr>
            <w:r>
              <w:rPr>
                <w:b/>
                <w:color w:val="002A5B"/>
                <w:sz w:val="13"/>
              </w:rPr>
              <w:t>M15</w:t>
            </w:r>
          </w:p>
        </w:tc>
        <w:tc>
          <w:tcPr>
            <w:tcW w:type="dxa" w:w="2891"/>
            <w:tcMar>
              <w:top w:w="40" w:type="dxa"/>
              <w:start w:w="40" w:type="dxa"/>
              <w:bottom w:w="40" w:type="dxa"/>
              <w:end w:w="40" w:type="dxa"/>
            </w:tcMar>
            <w:vAlign w:val="top"/>
          </w:tcPr>
          <w:p>
            <w:pPr>
              <w:spacing w:after="0" w:before="0" w:line="240" w:lineRule="auto"/>
            </w:pPr>
            <w:r>
              <w:rPr>
                <w:sz w:val="13"/>
              </w:rPr>
              <w:t>Eval-Gate Wissensmodus</w:t>
            </w:r>
          </w:p>
        </w:tc>
        <w:tc>
          <w:tcPr>
            <w:tcW w:type="dxa" w:w="907"/>
            <w:tcMar>
              <w:top w:w="40" w:type="dxa"/>
              <w:start w:w="40" w:type="dxa"/>
              <w:bottom w:w="40" w:type="dxa"/>
              <w:end w:w="40" w:type="dxa"/>
            </w:tcMar>
            <w:vAlign w:val="top"/>
          </w:tcPr>
          <w:p>
            <w:pPr>
              <w:spacing w:after="0" w:before="0" w:line="240" w:lineRule="auto"/>
            </w:pPr>
            <w:r>
              <w:rPr>
                <w:sz w:val="13"/>
              </w:rPr>
              <w:t>P0</w:t>
            </w:r>
          </w:p>
        </w:tc>
        <w:tc>
          <w:tcPr>
            <w:tcW w:type="dxa" w:w="2494"/>
            <w:tcMar>
              <w:top w:w="40" w:type="dxa"/>
              <w:start w:w="40" w:type="dxa"/>
              <w:bottom w:w="40" w:type="dxa"/>
              <w:end w:w="40" w:type="dxa"/>
            </w:tcMar>
            <w:vAlign w:val="top"/>
          </w:tcPr>
          <w:p>
            <w:pPr>
              <w:spacing w:after="0" w:before="0" w:line="240" w:lineRule="auto"/>
            </w:pPr>
            <w:r>
              <w:rPr>
                <w:sz w:val="13"/>
              </w:rPr>
              <w:t>Pflichten ratifiziert</w:t>
            </w:r>
          </w:p>
        </w:tc>
        <w:tc>
          <w:tcPr>
            <w:tcW w:type="dxa" w:w="2551"/>
            <w:tcMar>
              <w:top w:w="40" w:type="dxa"/>
              <w:start w:w="40" w:type="dxa"/>
              <w:bottom w:w="40" w:type="dxa"/>
              <w:end w:w="40" w:type="dxa"/>
            </w:tcMar>
            <w:vAlign w:val="top"/>
          </w:tcPr>
          <w:p>
            <w:pPr>
              <w:spacing w:after="0" w:before="0" w:line="240" w:lineRule="auto"/>
            </w:pPr>
            <w:r>
              <w:rPr>
                <w:sz w:val="13"/>
              </w:rPr>
              <w:t>Adjudiziertes Referenzset grün</w:t>
            </w:r>
          </w:p>
        </w:tc>
      </w:tr>
      <w:tr>
        <w:trPr>
          <w:trHeight w:hRule="atLeast"/>
        </w:trPr>
        <w:tc>
          <w:tcPr>
            <w:tcW w:type="dxa" w:w="567"/>
            <w:tcMar>
              <w:top w:w="40" w:type="dxa"/>
              <w:start w:w="40" w:type="dxa"/>
              <w:bottom w:w="40" w:type="dxa"/>
              <w:end w:w="40" w:type="dxa"/>
            </w:tcMar>
            <w:vAlign w:val="top"/>
          </w:tcPr>
          <w:p>
            <w:pPr>
              <w:spacing w:after="0" w:before="0" w:line="240" w:lineRule="auto"/>
            </w:pPr>
            <w:r>
              <w:rPr>
                <w:b/>
                <w:color w:val="002A5B"/>
                <w:sz w:val="13"/>
              </w:rPr>
              <w:t>M16</w:t>
            </w:r>
          </w:p>
        </w:tc>
        <w:tc>
          <w:tcPr>
            <w:tcW w:type="dxa" w:w="2891"/>
            <w:tcMar>
              <w:top w:w="40" w:type="dxa"/>
              <w:start w:w="40" w:type="dxa"/>
              <w:bottom w:w="40" w:type="dxa"/>
              <w:end w:w="40" w:type="dxa"/>
            </w:tcMar>
            <w:vAlign w:val="top"/>
          </w:tcPr>
          <w:p>
            <w:pPr>
              <w:spacing w:after="0" w:before="0" w:line="240" w:lineRule="auto"/>
            </w:pPr>
            <w:r>
              <w:rPr>
                <w:sz w:val="13"/>
              </w:rPr>
              <w:t>Interims-North-Star-Metrik</w:t>
            </w:r>
          </w:p>
        </w:tc>
        <w:tc>
          <w:tcPr>
            <w:tcW w:type="dxa" w:w="907"/>
            <w:tcMar>
              <w:top w:w="40" w:type="dxa"/>
              <w:start w:w="40" w:type="dxa"/>
              <w:bottom w:w="40" w:type="dxa"/>
              <w:end w:w="40" w:type="dxa"/>
            </w:tcMar>
            <w:vAlign w:val="top"/>
          </w:tcPr>
          <w:p>
            <w:pPr>
              <w:spacing w:after="0" w:before="0" w:line="240" w:lineRule="auto"/>
            </w:pPr>
            <w:r>
              <w:rPr>
                <w:sz w:val="13"/>
              </w:rPr>
              <w:t>P1</w:t>
            </w:r>
          </w:p>
        </w:tc>
        <w:tc>
          <w:tcPr>
            <w:tcW w:type="dxa" w:w="2494"/>
            <w:tcMar>
              <w:top w:w="40" w:type="dxa"/>
              <w:start w:w="40" w:type="dxa"/>
              <w:bottom w:w="40" w:type="dxa"/>
              <w:end w:w="40" w:type="dxa"/>
            </w:tcMar>
            <w:vAlign w:val="top"/>
          </w:tcPr>
          <w:p>
            <w:pPr>
              <w:spacing w:after="0" w:before="0" w:line="240" w:lineRule="auto"/>
            </w:pPr>
            <w:r>
              <w:rPr>
                <w:sz w:val="13"/>
              </w:rPr>
              <w:t>Metrikkaskade ratifiziert</w:t>
            </w:r>
          </w:p>
        </w:tc>
        <w:tc>
          <w:tcPr>
            <w:tcW w:type="dxa" w:w="2551"/>
            <w:tcMar>
              <w:top w:w="40" w:type="dxa"/>
              <w:start w:w="40" w:type="dxa"/>
              <w:bottom w:w="40" w:type="dxa"/>
              <w:end w:w="40" w:type="dxa"/>
            </w:tcMar>
            <w:vAlign w:val="top"/>
          </w:tcPr>
          <w:p>
            <w:pPr>
              <w:spacing w:after="0" w:before="0" w:line="240" w:lineRule="auto"/>
            </w:pPr>
            <w:r>
              <w:rPr>
                <w:sz w:val="13"/>
              </w:rPr>
              <w:t>Instrumentierung und Dashboard</w:t>
            </w:r>
          </w:p>
        </w:tc>
      </w:tr>
    </w:tbl>
    <w:p/>
    <w:p>
      <w:r>
        <w:br w:type="page"/>
      </w:r>
    </w:p>
    <w:p>
      <w:pPr>
        <w:pStyle w:val="Heading1"/>
      </w:pPr>
      <w:r>
        <w:t>25. Definition of Done für die neue SSoT</w:t>
      </w:r>
    </w:p>
    <w:p>
      <w:pPr>
        <w:pStyle w:val="ListBullet"/>
        <w:spacing w:after="40"/>
      </w:pPr>
      <w:r>
        <w:t>Die SSoT ist im Repository versioniert und in der Authority Order referenziert.</w:t>
      </w:r>
    </w:p>
    <w:p>
      <w:pPr>
        <w:pStyle w:val="ListBullet"/>
        <w:spacing w:after="40"/>
      </w:pPr>
      <w:r>
        <w:t>AGENTS.md und relevante Build-Specs verweisen auf diese SSoT und enthalten keine widersprüchlichen strategischen Aussagen.</w:t>
      </w:r>
    </w:p>
    <w:p>
      <w:pPr>
        <w:pStyle w:val="ListBullet"/>
        <w:spacing w:after="40"/>
      </w:pPr>
      <w:r>
        <w:t>Alle bestehenden Invarianten und Verdict-/Coverage-Zustände sind auf die SSoT gemappt.</w:t>
      </w:r>
    </w:p>
    <w:p>
      <w:pPr>
        <w:pStyle w:val="ListBullet"/>
        <w:spacing w:after="40"/>
      </w:pPr>
      <w:r>
        <w:t>Der Codex-Deep-Dive-Audit bewertet den Ist-Zustand gegen diese SSoT.</w:t>
      </w:r>
    </w:p>
    <w:p>
      <w:pPr>
        <w:pStyle w:val="ListBullet"/>
        <w:spacing w:after="40"/>
      </w:pPr>
      <w:r>
        <w:t>Website, Produkt und Herstellerportal verwenden dieselbe Positionierung und Reifegradlogik.</w:t>
      </w:r>
    </w:p>
    <w:p>
      <w:pPr>
        <w:pStyle w:val="ListBullet"/>
        <w:spacing w:after="40"/>
      </w:pPr>
      <w:r>
        <w:t>Der allgemeine Wissensmodus bleibt bis M15 hinter einem Gate.</w:t>
      </w:r>
    </w:p>
    <w:p>
      <w:pPr>
        <w:pStyle w:val="ListBullet"/>
        <w:spacing w:after="40"/>
      </w:pPr>
      <w:r>
        <w:t>Legal-, Conflict- und Neutralitätsregeln sind vor externen Piloten freigegeben.</w:t>
      </w:r>
    </w:p>
    <w:p>
      <w:pPr>
        <w:pStyle w:val="ListBullet"/>
        <w:spacing w:after="40"/>
      </w:pPr>
      <w:r>
        <w:t>Capability Profile v0 existiert vor Herstellerübergaben.</w:t>
      </w:r>
    </w:p>
    <w:p>
      <w:pPr>
        <w:pStyle w:val="ListBullet"/>
        <w:spacing w:after="40"/>
      </w:pPr>
      <w:r>
        <w:t>Metriken und Demo-Kennzeichnung verhindern Overclaim.</w:t>
      </w:r>
    </w:p>
    <w:p>
      <w:pPr>
        <w:pStyle w:val="ListBullet"/>
        <w:spacing w:after="40"/>
      </w:pPr>
      <w:r>
        <w:t>Jede Abweichung besitzt Owner-Decision, ADR oder dokumentierte Remediation.</w:t>
      </w:r>
    </w:p>
    <w:p>
      <w:r>
        <w:br w:type="page"/>
      </w:r>
    </w:p>
    <w:p>
      <w:pPr>
        <w:pStyle w:val="Heading1"/>
      </w:pPr>
      <w:r>
        <w:t>Anhang A. Referenz-Journeys</w:t>
      </w:r>
    </w:p>
    <w:tbl>
      <w:tblPr>
        <w:tblStyle w:val="TableGrid"/>
        <w:tblW w:type="auto" w:w="0"/>
        <w:jc w:val="center"/>
        <w:tblLook w:firstColumn="1" w:firstRow="1" w:lastColumn="0" w:lastRow="0" w:noHBand="0" w:noVBand="1" w:val="04A0"/>
      </w:tblPr>
      <w:tblGrid>
        <w:gridCol w:w="3286"/>
        <w:gridCol w:w="3286"/>
        <w:gridCol w:w="3286"/>
      </w:tblGrid>
      <w:tr>
        <w:tc>
          <w:tcPr>
            <w:tcW w:type="dxa" w:w="1417"/>
            <w:shd w:fill="17324D"/>
            <w:tcMar>
              <w:top w:w="90" w:type="dxa"/>
              <w:start w:w="90" w:type="dxa"/>
              <w:bottom w:w="90" w:type="dxa"/>
              <w:end w:w="90" w:type="dxa"/>
            </w:tcMar>
            <w:vAlign w:val="center"/>
          </w:tcPr>
          <w:p>
            <w:pPr>
              <w:jc w:val="left"/>
            </w:pPr>
            <w:r>
              <w:rPr>
                <w:b/>
                <w:color w:val="FFFFFF"/>
                <w:sz w:val="16"/>
              </w:rPr>
              <w:t>Journey</w:t>
            </w:r>
          </w:p>
        </w:tc>
        <w:tc>
          <w:tcPr>
            <w:tcW w:type="dxa" w:w="2494"/>
            <w:shd w:fill="17324D"/>
            <w:tcMar>
              <w:top w:w="90" w:type="dxa"/>
              <w:start w:w="90" w:type="dxa"/>
              <w:bottom w:w="90" w:type="dxa"/>
              <w:end w:w="90" w:type="dxa"/>
            </w:tcMar>
            <w:vAlign w:val="center"/>
          </w:tcPr>
          <w:p>
            <w:pPr>
              <w:jc w:val="left"/>
            </w:pPr>
            <w:r>
              <w:rPr>
                <w:b/>
                <w:color w:val="FFFFFF"/>
                <w:sz w:val="16"/>
              </w:rPr>
              <w:t>Auslöser</w:t>
            </w:r>
          </w:p>
        </w:tc>
        <w:tc>
          <w:tcPr>
            <w:tcW w:type="dxa" w:w="5499"/>
            <w:shd w:fill="17324D"/>
            <w:tcMar>
              <w:top w:w="90" w:type="dxa"/>
              <w:start w:w="90" w:type="dxa"/>
              <w:bottom w:w="90" w:type="dxa"/>
              <w:end w:w="90" w:type="dxa"/>
            </w:tcMar>
            <w:vAlign w:val="center"/>
          </w:tcPr>
          <w:p>
            <w:pPr>
              <w:jc w:val="left"/>
            </w:pPr>
            <w:r>
              <w:rPr>
                <w:b/>
                <w:color w:val="FFFFFF"/>
                <w:sz w:val="16"/>
              </w:rPr>
              <w:t>Sollverhalten</w:t>
            </w:r>
          </w:p>
        </w:tc>
      </w:tr>
      <w:tr>
        <w:trPr>
          <w:trHeight w:hRule="atLeast"/>
        </w:trPr>
        <w:tc>
          <w:tcPr>
            <w:tcW w:type="dxa" w:w="1417"/>
            <w:tcMar>
              <w:top w:w="90" w:type="dxa"/>
              <w:start w:w="90" w:type="dxa"/>
              <w:bottom w:w="90" w:type="dxa"/>
              <w:end w:w="90" w:type="dxa"/>
            </w:tcMar>
            <w:vAlign w:val="top"/>
          </w:tcPr>
          <w:p>
            <w:r>
              <w:rPr>
                <w:sz w:val="16"/>
              </w:rPr>
              <w:t>A1 Wissensfrage</w:t>
            </w:r>
          </w:p>
        </w:tc>
        <w:tc>
          <w:tcPr>
            <w:tcW w:type="dxa" w:w="2494"/>
            <w:tcMar>
              <w:top w:w="90" w:type="dxa"/>
              <w:start w:w="90" w:type="dxa"/>
              <w:bottom w:w="90" w:type="dxa"/>
              <w:end w:w="90" w:type="dxa"/>
            </w:tcMar>
            <w:vAlign w:val="top"/>
          </w:tcPr>
          <w:p>
            <w:r>
              <w:rPr>
                <w:sz w:val="16"/>
              </w:rPr>
              <w:t>„Wie funktioniert ein RWDR?“</w:t>
            </w:r>
          </w:p>
        </w:tc>
        <w:tc>
          <w:tcPr>
            <w:tcW w:type="dxa" w:w="5499"/>
            <w:tcMar>
              <w:top w:w="90" w:type="dxa"/>
              <w:start w:w="90" w:type="dxa"/>
              <w:bottom w:w="90" w:type="dxa"/>
              <w:end w:w="90" w:type="dxa"/>
            </w:tcMar>
            <w:vAlign w:val="top"/>
          </w:tcPr>
          <w:p>
            <w:r>
              <w:rPr>
                <w:sz w:val="16"/>
              </w:rPr>
              <w:t>Direkte Erklärung, Aufbau, Wirkprinzip, Grenzen, Quellen bei spezifischen Claims und Übergang zu vertiefenden Inhalten.</w:t>
            </w:r>
          </w:p>
        </w:tc>
      </w:tr>
      <w:tr>
        <w:trPr>
          <w:trHeight w:hRule="atLeast"/>
        </w:trPr>
        <w:tc>
          <w:tcPr>
            <w:tcW w:type="dxa" w:w="1417"/>
            <w:tcMar>
              <w:top w:w="90" w:type="dxa"/>
              <w:start w:w="90" w:type="dxa"/>
              <w:bottom w:w="90" w:type="dxa"/>
              <w:end w:w="90" w:type="dxa"/>
            </w:tcMar>
            <w:vAlign w:val="top"/>
          </w:tcPr>
          <w:p>
            <w:r>
              <w:rPr>
                <w:sz w:val="16"/>
              </w:rPr>
              <w:t>A2 Werkstoffvergleich</w:t>
            </w:r>
          </w:p>
        </w:tc>
        <w:tc>
          <w:tcPr>
            <w:tcW w:type="dxa" w:w="2494"/>
            <w:tcMar>
              <w:top w:w="90" w:type="dxa"/>
              <w:start w:w="90" w:type="dxa"/>
              <w:bottom w:w="90" w:type="dxa"/>
              <w:end w:w="90" w:type="dxa"/>
            </w:tcMar>
            <w:vAlign w:val="top"/>
          </w:tcPr>
          <w:p>
            <w:r>
              <w:rPr>
                <w:sz w:val="16"/>
              </w:rPr>
              <w:t>„FKM oder EPDM?“</w:t>
            </w:r>
          </w:p>
        </w:tc>
        <w:tc>
          <w:tcPr>
            <w:tcW w:type="dxa" w:w="5499"/>
            <w:tcMar>
              <w:top w:w="90" w:type="dxa"/>
              <w:start w:w="90" w:type="dxa"/>
              <w:bottom w:w="90" w:type="dxa"/>
              <w:end w:w="90" w:type="dxa"/>
            </w:tcMar>
            <w:vAlign w:val="top"/>
          </w:tcPr>
          <w:p>
            <w:r>
              <w:rPr>
                <w:sz w:val="16"/>
              </w:rPr>
              <w:t>Kriterien klären, Vergleich nach Medium/Temperatur/Dynamik, Compoundspezifität und Prüfbedarf darstellen.</w:t>
            </w:r>
          </w:p>
        </w:tc>
      </w:tr>
      <w:tr>
        <w:trPr>
          <w:trHeight w:hRule="atLeast"/>
        </w:trPr>
        <w:tc>
          <w:tcPr>
            <w:tcW w:type="dxa" w:w="1417"/>
            <w:tcMar>
              <w:top w:w="90" w:type="dxa"/>
              <w:start w:w="90" w:type="dxa"/>
              <w:bottom w:w="90" w:type="dxa"/>
              <w:end w:w="90" w:type="dxa"/>
            </w:tcMar>
            <w:vAlign w:val="top"/>
          </w:tcPr>
          <w:p>
            <w:r>
              <w:rPr>
                <w:sz w:val="16"/>
              </w:rPr>
              <w:t>A3 Anwendung</w:t>
            </w:r>
          </w:p>
        </w:tc>
        <w:tc>
          <w:tcPr>
            <w:tcW w:type="dxa" w:w="2494"/>
            <w:tcMar>
              <w:top w:w="90" w:type="dxa"/>
              <w:start w:w="90" w:type="dxa"/>
              <w:bottom w:w="90" w:type="dxa"/>
              <w:end w:w="90" w:type="dxa"/>
            </w:tcMar>
            <w:vAlign w:val="top"/>
          </w:tcPr>
          <w:p>
            <w:r>
              <w:rPr>
                <w:sz w:val="16"/>
              </w:rPr>
              <w:t>„Welche Dichtung für Hydrauliköl bei 120 °C?“</w:t>
            </w:r>
          </w:p>
        </w:tc>
        <w:tc>
          <w:tcPr>
            <w:tcW w:type="dxa" w:w="5499"/>
            <w:tcMar>
              <w:top w:w="90" w:type="dxa"/>
              <w:start w:w="90" w:type="dxa"/>
              <w:bottom w:w="90" w:type="dxa"/>
              <w:end w:w="90" w:type="dxa"/>
            </w:tcMar>
            <w:vAlign w:val="top"/>
          </w:tcPr>
          <w:p>
            <w:r>
              <w:rPr>
                <w:sz w:val="16"/>
              </w:rPr>
              <w:t>Fehlende Parameter erfassen, Coverage anzeigen, Optionen und Risiken strukturieren, keine Freigabe.</w:t>
            </w:r>
          </w:p>
        </w:tc>
      </w:tr>
      <w:tr>
        <w:trPr>
          <w:trHeight w:hRule="atLeast"/>
        </w:trPr>
        <w:tc>
          <w:tcPr>
            <w:tcW w:type="dxa" w:w="1417"/>
            <w:tcMar>
              <w:top w:w="90" w:type="dxa"/>
              <w:start w:w="90" w:type="dxa"/>
              <w:bottom w:w="90" w:type="dxa"/>
              <w:end w:w="90" w:type="dxa"/>
            </w:tcMar>
            <w:vAlign w:val="top"/>
          </w:tcPr>
          <w:p>
            <w:r>
              <w:rPr>
                <w:sz w:val="16"/>
              </w:rPr>
              <w:t>A4 Schaden</w:t>
            </w:r>
          </w:p>
        </w:tc>
        <w:tc>
          <w:tcPr>
            <w:tcW w:type="dxa" w:w="2494"/>
            <w:tcMar>
              <w:top w:w="90" w:type="dxa"/>
              <w:start w:w="90" w:type="dxa"/>
              <w:bottom w:w="90" w:type="dxa"/>
              <w:end w:w="90" w:type="dxa"/>
            </w:tcMar>
            <w:vAlign w:val="top"/>
          </w:tcPr>
          <w:p>
            <w:r>
              <w:rPr>
                <w:sz w:val="16"/>
              </w:rPr>
              <w:t>„Der Ring leckt nach drei Wochen.“</w:t>
            </w:r>
          </w:p>
        </w:tc>
        <w:tc>
          <w:tcPr>
            <w:tcW w:type="dxa" w:w="5499"/>
            <w:tcMar>
              <w:top w:w="90" w:type="dxa"/>
              <w:start w:w="90" w:type="dxa"/>
              <w:bottom w:w="90" w:type="dxa"/>
              <w:end w:w="90" w:type="dxa"/>
            </w:tcMar>
            <w:vAlign w:val="top"/>
          </w:tcPr>
          <w:p>
            <w:r>
              <w:rPr>
                <w:sz w:val="16"/>
              </w:rPr>
              <w:t>Beobachtungen, Historie und Systemparameter aufnehmen; Hypothesen und Prüfplan erstellen.</w:t>
            </w:r>
          </w:p>
        </w:tc>
      </w:tr>
      <w:tr>
        <w:trPr>
          <w:trHeight w:hRule="atLeast"/>
        </w:trPr>
        <w:tc>
          <w:tcPr>
            <w:tcW w:type="dxa" w:w="1417"/>
            <w:tcMar>
              <w:top w:w="90" w:type="dxa"/>
              <w:start w:w="90" w:type="dxa"/>
              <w:bottom w:w="90" w:type="dxa"/>
              <w:end w:w="90" w:type="dxa"/>
            </w:tcMar>
            <w:vAlign w:val="top"/>
          </w:tcPr>
          <w:p>
            <w:r>
              <w:rPr>
                <w:sz w:val="16"/>
              </w:rPr>
              <w:t>A5 Substitution</w:t>
            </w:r>
          </w:p>
        </w:tc>
        <w:tc>
          <w:tcPr>
            <w:tcW w:type="dxa" w:w="2494"/>
            <w:tcMar>
              <w:top w:w="90" w:type="dxa"/>
              <w:start w:w="90" w:type="dxa"/>
              <w:bottom w:w="90" w:type="dxa"/>
              <w:end w:w="90" w:type="dxa"/>
            </w:tcMar>
            <w:vAlign w:val="top"/>
          </w:tcPr>
          <w:p>
            <w:r>
              <w:rPr>
                <w:sz w:val="16"/>
              </w:rPr>
              <w:t>„Ersatz für abgekündigten FKM-Compound.“</w:t>
            </w:r>
          </w:p>
        </w:tc>
        <w:tc>
          <w:tcPr>
            <w:tcW w:type="dxa" w:w="5499"/>
            <w:tcMar>
              <w:top w:w="90" w:type="dxa"/>
              <w:start w:w="90" w:type="dxa"/>
              <w:bottom w:w="90" w:type="dxa"/>
              <w:end w:w="90" w:type="dxa"/>
            </w:tcMar>
            <w:vAlign w:val="top"/>
          </w:tcPr>
          <w:p>
            <w:r>
              <w:rPr>
                <w:sz w:val="16"/>
              </w:rPr>
              <w:t>Leistungsprofil, Zulassungen, Liefergrund, Alternativen und Requalifizierung abbilden.</w:t>
            </w:r>
          </w:p>
        </w:tc>
      </w:tr>
      <w:tr>
        <w:trPr>
          <w:trHeight w:hRule="atLeast"/>
        </w:trPr>
        <w:tc>
          <w:tcPr>
            <w:tcW w:type="dxa" w:w="1417"/>
            <w:tcMar>
              <w:top w:w="90" w:type="dxa"/>
              <w:start w:w="90" w:type="dxa"/>
              <w:bottom w:w="90" w:type="dxa"/>
              <w:end w:w="90" w:type="dxa"/>
            </w:tcMar>
            <w:vAlign w:val="top"/>
          </w:tcPr>
          <w:p>
            <w:r>
              <w:rPr>
                <w:sz w:val="16"/>
              </w:rPr>
              <w:t>A6 Hersteller</w:t>
            </w:r>
          </w:p>
        </w:tc>
        <w:tc>
          <w:tcPr>
            <w:tcW w:type="dxa" w:w="2494"/>
            <w:tcMar>
              <w:top w:w="90" w:type="dxa"/>
              <w:start w:w="90" w:type="dxa"/>
              <w:bottom w:w="90" w:type="dxa"/>
              <w:end w:w="90" w:type="dxa"/>
            </w:tcMar>
            <w:vAlign w:val="top"/>
          </w:tcPr>
          <w:p>
            <w:r>
              <w:rPr>
                <w:sz w:val="16"/>
              </w:rPr>
              <w:t>„Wer kann das prüfen?“</w:t>
            </w:r>
          </w:p>
        </w:tc>
        <w:tc>
          <w:tcPr>
            <w:tcW w:type="dxa" w:w="5499"/>
            <w:tcMar>
              <w:top w:w="90" w:type="dxa"/>
              <w:start w:w="90" w:type="dxa"/>
              <w:bottom w:w="90" w:type="dxa"/>
              <w:end w:w="90" w:type="dxa"/>
            </w:tcMar>
            <w:vAlign w:val="top"/>
          </w:tcPr>
          <w:p>
            <w:r>
              <w:rPr>
                <w:sz w:val="16"/>
              </w:rPr>
              <w:t>Nur nach ausreichend strukturiertem Fall Capability Fit berechnen und begründen.</w:t>
            </w:r>
          </w:p>
        </w:tc>
      </w:tr>
      <w:tr>
        <w:trPr>
          <w:trHeight w:hRule="atLeast"/>
        </w:trPr>
        <w:tc>
          <w:tcPr>
            <w:tcW w:type="dxa" w:w="1417"/>
            <w:tcMar>
              <w:top w:w="90" w:type="dxa"/>
              <w:start w:w="90" w:type="dxa"/>
              <w:bottom w:w="90" w:type="dxa"/>
              <w:end w:w="90" w:type="dxa"/>
            </w:tcMar>
            <w:vAlign w:val="top"/>
          </w:tcPr>
          <w:p>
            <w:r>
              <w:rPr>
                <w:sz w:val="16"/>
              </w:rPr>
              <w:t>A7 Lifecycle</w:t>
            </w:r>
          </w:p>
        </w:tc>
        <w:tc>
          <w:tcPr>
            <w:tcW w:type="dxa" w:w="2494"/>
            <w:tcMar>
              <w:top w:w="90" w:type="dxa"/>
              <w:start w:w="90" w:type="dxa"/>
              <w:bottom w:w="90" w:type="dxa"/>
              <w:end w:w="90" w:type="dxa"/>
            </w:tcMar>
            <w:vAlign w:val="top"/>
          </w:tcPr>
          <w:p>
            <w:r>
              <w:rPr>
                <w:sz w:val="16"/>
              </w:rPr>
              <w:t>„Was war an Pumpe P-101 verbaut?“</w:t>
            </w:r>
          </w:p>
        </w:tc>
        <w:tc>
          <w:tcPr>
            <w:tcW w:type="dxa" w:w="5499"/>
            <w:tcMar>
              <w:top w:w="90" w:type="dxa"/>
              <w:start w:w="90" w:type="dxa"/>
              <w:bottom w:w="90" w:type="dxa"/>
              <w:end w:w="90" w:type="dxa"/>
            </w:tcMar>
            <w:vAlign w:val="top"/>
          </w:tcPr>
          <w:p>
            <w:r>
              <w:rPr>
                <w:sz w:val="16"/>
              </w:rPr>
              <w:t>Asset, Installation, Freigabe, Charge, Wartung und Outcome zusammenführen.</w:t>
            </w:r>
          </w:p>
        </w:tc>
      </w:tr>
    </w:tbl>
    <w:p/>
    <w:p>
      <w:r>
        <w:br w:type="page"/>
      </w:r>
    </w:p>
    <w:p>
      <w:pPr>
        <w:pStyle w:val="Heading1"/>
      </w:pPr>
      <w:r>
        <w:t>Anhang B. Beispielhafte Herstellerantwort</w:t>
      </w:r>
    </w:p>
    <w:tbl>
      <w:tblPr>
        <w:tblW w:type="auto" w:w="0"/>
        <w:jc w:val="center"/>
        <w:tblLook w:firstColumn="1" w:firstRow="1" w:lastColumn="0" w:lastRow="0" w:noHBand="0" w:noVBand="1" w:val="04A0"/>
      </w:tblPr>
      <w:tblGrid>
        <w:gridCol w:w="9859"/>
      </w:tblGrid>
      <w:tr>
        <w:tc>
          <w:tcPr>
            <w:tcW w:type="dxa" w:w="9859"/>
            <w:shd w:fill="EAF2F8"/>
            <w:tcMar>
              <w:top w:w="150" w:type="dxa"/>
              <w:start w:w="170" w:type="dxa"/>
              <w:bottom w:w="150" w:type="dxa"/>
              <w:end w:w="170" w:type="dxa"/>
            </w:tcMar>
          </w:tcPr>
          <w:p>
            <w:r>
              <w:rPr>
                <w:b/>
                <w:color w:val="002A5B"/>
                <w:sz w:val="21"/>
              </w:rPr>
              <w:t>Kennzeichnung</w:t>
            </w:r>
            <w:r>
              <w:br/>
              <w:t>Demonstrationsfall – kein realer Kundenfall.</w:t>
            </w:r>
          </w:p>
        </w:tc>
      </w:tr>
    </w:tbl>
    <w:p/>
    <w:p>
      <w:r>
        <w:t>Die Herstellerantwort referenziert dieselbe Fallversion, bestätigt oder korrigiert Known/Unknown, nennt vorgeschlagene Produkte/Compounds, gibt Voraussetzungen, Ausschlüsse und Prüfbedarf an und dokumentiert den Freigabestatus. Sie darf technische Rückfragen stellen und den Fall ohne negative Rankingfolge ablehnen.</w:t>
      </w:r>
    </w:p>
    <w:p>
      <w:r>
        <w:br w:type="page"/>
      </w:r>
    </w:p>
    <w:p>
      <w:pPr>
        <w:pStyle w:val="Heading1"/>
      </w:pPr>
      <w:r>
        <w:t>Anhang C. Quellen- und Evidence-Grundsätze</w:t>
      </w:r>
    </w:p>
    <w:p>
      <w:pPr>
        <w:pStyle w:val="ListBullet"/>
        <w:spacing w:after="40"/>
      </w:pPr>
      <w:r>
        <w:t>Primärquellen und offizielle Dokumentation haben Vorrang.</w:t>
      </w:r>
    </w:p>
    <w:p>
      <w:pPr>
        <w:pStyle w:val="ListBullet"/>
        <w:spacing w:after="40"/>
      </w:pPr>
      <w:r>
        <w:t>Normtexte werden nur im lizenzrechtlich zulässigen Umfang gespeichert und wiedergegeben.</w:t>
      </w:r>
    </w:p>
    <w:p>
      <w:pPr>
        <w:pStyle w:val="ListBullet"/>
        <w:spacing w:after="40"/>
      </w:pPr>
      <w:r>
        <w:t>Herstellerdaten gelten für die konkret angegebene Qualität und den genannten Geltungsbereich.</w:t>
      </w:r>
    </w:p>
    <w:p>
      <w:pPr>
        <w:pStyle w:val="ListBullet"/>
        <w:spacing w:after="40"/>
      </w:pPr>
      <w:r>
        <w:t>Sekundärliteratur dient zur Einordnung, nicht zur Überschreibung konkreter Primärdaten.</w:t>
      </w:r>
    </w:p>
    <w:p>
      <w:pPr>
        <w:pStyle w:val="ListBullet"/>
        <w:spacing w:after="40"/>
      </w:pPr>
      <w:r>
        <w:t>Deep Research erzeugt Drafts, keine Reviewed Truth.</w:t>
      </w:r>
    </w:p>
    <w:p>
      <w:pPr>
        <w:pStyle w:val="ListBullet"/>
        <w:spacing w:after="40"/>
      </w:pPr>
      <w:r>
        <w:t>Konflikte bleiben sichtbar und werden nicht durch Mehrheitsabstimmung des Modells geglättet.</w:t>
      </w:r>
    </w:p>
    <w:p>
      <w:pPr>
        <w:pStyle w:val="ListBullet"/>
        <w:spacing w:after="40"/>
      </w:pPr>
      <w:r>
        <w:t>Quellenstatus, Version und Reviewdatum sind nutzerseitig nachvollziehbar.</w:t>
      </w:r>
    </w:p>
    <w:p>
      <w:r>
        <w:br w:type="page"/>
      </w:r>
    </w:p>
    <w:p>
      <w:pPr>
        <w:pStyle w:val="Heading1"/>
      </w:pPr>
      <w:r>
        <w:t>Anhang D. Prüffragen für jede neue Funktion</w:t>
      </w:r>
    </w:p>
    <w:p>
      <w:pPr>
        <w:pStyle w:val="ListNumber"/>
        <w:spacing w:after="40"/>
      </w:pPr>
      <w:r>
        <w:t>Welchen Nutzerjob löst die Funktion?</w:t>
      </w:r>
    </w:p>
    <w:p>
      <w:pPr>
        <w:pStyle w:val="ListNumber"/>
        <w:spacing w:after="40"/>
      </w:pPr>
      <w:r>
        <w:t>Welcher Pain und welche Evidenz rechtfertigen sie?</w:t>
      </w:r>
    </w:p>
    <w:p>
      <w:pPr>
        <w:pStyle w:val="ListNumber"/>
        <w:spacing w:after="40"/>
      </w:pPr>
      <w:r>
        <w:t>Welche SSoT-Domäne ist Owner?</w:t>
      </w:r>
    </w:p>
    <w:p>
      <w:pPr>
        <w:pStyle w:val="ListNumber"/>
        <w:spacing w:after="40"/>
      </w:pPr>
      <w:r>
        <w:t>Welche kanonischen Datenobjekte werden benötigt?</w:t>
      </w:r>
    </w:p>
    <w:p>
      <w:pPr>
        <w:pStyle w:val="ListNumber"/>
        <w:spacing w:after="40"/>
      </w:pPr>
      <w:r>
        <w:t>Welche Claims oder Berechnungen entstehen?</w:t>
      </w:r>
    </w:p>
    <w:p>
      <w:pPr>
        <w:pStyle w:val="ListNumber"/>
        <w:spacing w:after="40"/>
      </w:pPr>
      <w:r>
        <w:t>Welche Risikoklasse und Hard Gates gelten?</w:t>
      </w:r>
    </w:p>
    <w:p>
      <w:pPr>
        <w:pStyle w:val="ListNumber"/>
        <w:spacing w:after="40"/>
      </w:pPr>
      <w:r>
        <w:t>Welche Tenant-, Datenschutz- und Lizenzfragen entstehen?</w:t>
      </w:r>
    </w:p>
    <w:p>
      <w:pPr>
        <w:pStyle w:val="ListNumber"/>
        <w:spacing w:after="40"/>
      </w:pPr>
      <w:r>
        <w:t>Welche Reifegradkennzeichnung ist ehrlich?</w:t>
      </w:r>
    </w:p>
    <w:p>
      <w:pPr>
        <w:pStyle w:val="ListNumber"/>
        <w:spacing w:after="40"/>
      </w:pPr>
      <w:r>
        <w:t>Welches Eval-Set und welche Akzeptanzmetriken gelten?</w:t>
      </w:r>
    </w:p>
    <w:p>
      <w:pPr>
        <w:pStyle w:val="ListNumber"/>
        <w:spacing w:after="40"/>
      </w:pPr>
      <w:r>
        <w:t>Wie wird die Funktion deaktiviert und zurückgerollt?</w:t>
      </w:r>
    </w:p>
    <w:p>
      <w:pPr>
        <w:pStyle w:val="ListNumber"/>
        <w:spacing w:after="40"/>
      </w:pPr>
      <w:r>
        <w:t>Welche Website- und Content-Auswirkungen entstehen?</w:t>
      </w:r>
    </w:p>
    <w:p>
      <w:pPr>
        <w:pStyle w:val="ListNumber"/>
        <w:spacing w:after="40"/>
      </w:pPr>
      <w:r>
        <w:t>Trägt sie zum aktuellen Horizont bei oder ist sie Not-now?</w:t>
      </w:r>
    </w:p>
    <w:p>
      <w:r>
        <w:br w:type="page"/>
      </w:r>
    </w:p>
    <w:p>
      <w:pPr>
        <w:pStyle w:val="Heading1"/>
      </w:pPr>
      <w:r>
        <w:t>26. Verbindlicher Schlussbeschluss</w:t>
      </w:r>
    </w:p>
    <w:tbl>
      <w:tblPr>
        <w:tblW w:type="auto" w:w="0"/>
        <w:jc w:val="center"/>
        <w:tblLook w:firstColumn="1" w:firstRow="1" w:lastColumn="0" w:lastRow="0" w:noHBand="0" w:noVBand="1" w:val="04A0"/>
      </w:tblPr>
      <w:tblGrid>
        <w:gridCol w:w="9859"/>
      </w:tblGrid>
      <w:tr>
        <w:tc>
          <w:tcPr>
            <w:tcW w:type="dxa" w:w="9859"/>
            <w:shd w:fill="EAF2F8"/>
            <w:tcMar>
              <w:top w:w="150" w:type="dxa"/>
              <w:start w:w="170" w:type="dxa"/>
              <w:bottom w:w="150" w:type="dxa"/>
              <w:end w:w="170" w:type="dxa"/>
            </w:tcMar>
          </w:tcPr>
          <w:p>
            <w:r>
              <w:rPr>
                <w:b/>
                <w:color w:val="002A5B"/>
                <w:sz w:val="21"/>
              </w:rPr>
              <w:t>SSoT-Beschluss</w:t>
            </w:r>
            <w:r>
              <w:br/>
              <w:t>Diese Version 2.0 ist die neue strategische Single Source of Truth für sealingAI. Sie definiert das verbindliche Zielbild, die Positionierung, die Produkt- und Vertrauensprinzipien, das 360°-Domänenmodell, die Zielarchitektur, die Website- und Herstellerlogik sowie die Governance- und Aktivierungsgates. Der nächste Schritt ist kein weiterer freier Konzeptzyklus, sondern der evidenzbasierte Audit des aktuellen Monorepos und die priorisierte Umsetzung der offenen M1–M16-Abnahmen.</w:t>
            </w:r>
          </w:p>
        </w:tc>
      </w:tr>
    </w:tbl>
    <w:p/>
    <w:p>
      <w:r>
        <w:t>Verbindliche Kurzform: sealingAI beantwortet einfache Dichtungsfragen direkt und macht anwendungsabhängige Fragen zu prüfbaren Fällen. Es zeigt Datenlücken, Quellen, Geltungsbereiche, Risiken und die richtige nächste Aktion. Technische Entscheidungen bleiben nachvollziehbar; die finale Freigabe bleibt beim Fachverantwortlichen.</w:t>
      </w:r>
    </w:p>
    <w:sectPr w:rsidR="00FC693F" w:rsidRPr="0006063C" w:rsidSect="00034616">
      <w:headerReference w:type="default" r:id="rId9"/>
      <w:footerReference w:type="default" r:id="rId10"/>
      <w:pgSz w:w="12240" w:h="15840"/>
      <w:pgMar w:top="1191" w:right="1134" w:bottom="1020"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B6570"/>
        <w:sz w:val="16"/>
      </w:rPr>
      <w:t>Verbindliche SSoT · Stand 10. Juli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B6570"/>
        <w:sz w:val="16"/>
      </w:rPr>
      <w:t>sealingAI · Single Source of Truth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Aptos Display" w:hAnsi="Aptos Display"/>
      <w:b/>
      <w:bCs/>
      <w:color w:val="002A5B"/>
      <w:sz w:val="3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ptos Display" w:hAnsi="Aptos Display"/>
      <w:b/>
      <w:bCs/>
      <w:color w:val="0B5CA8"/>
      <w:sz w:val="28"/>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Aptos Display" w:hAnsi="Aptos Display"/>
      <w:b/>
      <w:bCs/>
      <w:color w:val="002A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Aptos Display" w:hAnsi="Aptos Display"/>
      <w:b/>
      <w:color w:val="002A5B"/>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val="0"/>
      <w:i/>
      <w:iCs/>
      <w:color w:val="5B65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b w:val="0"/>
      <w:i/>
      <w:iCs/>
      <w:color w:val="002A5B"/>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rPr>
      <w:rFonts w:ascii="Aptos" w:hAnsi="Aptos"/>
      <w:b w:val="0"/>
      <w:i w:val="0"/>
      <w:color w:val="002A5B"/>
      <w:sz w:val="24"/>
    </w:rPr>
  </w:style>
  <w:style w:type="paragraph" w:customStyle="1" w:styleId="Small">
    <w:name w:val="Small"/>
    <w:basedOn w:val="Normal"/>
    <w:rPr>
      <w:rFonts w:ascii="Aptos" w:hAnsi="Aptos"/>
      <w:b w:val="0"/>
      <w:i w:val="0"/>
      <w:color w:val="5B6570"/>
      <w:sz w:val="17"/>
    </w:rPr>
  </w:style>
  <w:style w:type="paragraph" w:customStyle="1" w:styleId="Callout">
    <w:name w:val="Callout"/>
    <w:basedOn w:val="Normal"/>
    <w:rPr>
      <w:rFonts w:ascii="Aptos" w:hAnsi="Aptos"/>
      <w:b/>
      <w:i w:val="0"/>
      <w:color w:val="002A5B"/>
      <w:sz w:val="21"/>
    </w:rPr>
  </w:style>
  <w:style w:type="paragraph" w:customStyle="1" w:styleId="Decision">
    <w:name w:val="Decision"/>
    <w:basedOn w:val="Normal"/>
    <w:rPr>
      <w:rFonts w:ascii="Aptos" w:hAnsi="Aptos"/>
      <w:b/>
      <w:i w:val="0"/>
      <w:color w:val="0B5CA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