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60FE" w14:textId="77777777" w:rsidR="00B476BC" w:rsidRDefault="00000000">
      <w:pPr>
        <w:pStyle w:val="Heading2"/>
        <w:rPr>
          <w:u w:val="single"/>
        </w:rPr>
      </w:pPr>
      <w:bookmarkStart w:id="0" w:name="_lat2o7noyora" w:colFirst="0" w:colLast="0"/>
      <w:bookmarkEnd w:id="0"/>
      <w:r>
        <w:rPr>
          <w:u w:val="single"/>
        </w:rPr>
        <w:t>FEATURES RECOMMENDATION:</w:t>
      </w:r>
    </w:p>
    <w:p w14:paraId="777DCFA7" w14:textId="77777777" w:rsidR="00B476BC" w:rsidRDefault="00000000">
      <w:r>
        <w:t>Small points: Adding “</w:t>
      </w:r>
      <w:r>
        <w:rPr>
          <w:color w:val="0000FF"/>
        </w:rPr>
        <w:t>Contact us</w:t>
      </w:r>
      <w:r>
        <w:t xml:space="preserve">” and </w:t>
      </w:r>
      <w:r>
        <w:rPr>
          <w:color w:val="0000FF"/>
        </w:rPr>
        <w:t>“Copyright</w:t>
      </w:r>
      <w:r>
        <w:t>”</w:t>
      </w:r>
    </w:p>
    <w:p w14:paraId="309442A3" w14:textId="77777777" w:rsidR="00B476BC" w:rsidRDefault="00000000">
      <w:pPr>
        <w:rPr>
          <w:rFonts w:ascii="Nunito" w:eastAsia="Nunito" w:hAnsi="Nunito" w:cs="Nunito"/>
          <w:b/>
          <w:bCs/>
        </w:rPr>
      </w:pPr>
      <w:r>
        <w:rPr>
          <w:rFonts w:ascii="Nunito" w:eastAsia="Nunito" w:hAnsi="Nunito" w:cs="Nunito"/>
          <w:b/>
          <w:bCs/>
        </w:rPr>
        <w:t>1/ Reliability</w:t>
      </w:r>
    </w:p>
    <w:p w14:paraId="577F052C" w14:textId="539A0472" w:rsidR="00B476BC" w:rsidRDefault="00000000" w:rsidP="0020019C">
      <w:p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 xml:space="preserve">To make it more </w:t>
      </w:r>
      <w:r w:rsidR="0020019C">
        <w:rPr>
          <w:rFonts w:ascii="Nunito" w:eastAsia="Nunito" w:hAnsi="Nunito" w:cs="Nunito"/>
        </w:rPr>
        <w:t>intuitive</w:t>
      </w:r>
      <w:r>
        <w:rPr>
          <w:rFonts w:ascii="Nunito" w:eastAsia="Nunito" w:hAnsi="Nunito" w:cs="Nunito"/>
        </w:rPr>
        <w:t xml:space="preserve">. If it is possible to add </w:t>
      </w:r>
      <w:r w:rsidR="0020019C">
        <w:rPr>
          <w:rFonts w:ascii="Nunito" w:eastAsia="Nunito" w:hAnsi="Nunito" w:cs="Nunito"/>
        </w:rPr>
        <w:t xml:space="preserve">link between how the values for a certain feature of the fund was derived and where the information was obtained from the fact sheet. </w:t>
      </w:r>
    </w:p>
    <w:p w14:paraId="3EF63CAE" w14:textId="77777777" w:rsidR="00B476BC" w:rsidRDefault="00B476BC">
      <w:pPr>
        <w:rPr>
          <w:rFonts w:ascii="Nunito" w:eastAsia="Nunito" w:hAnsi="Nunito" w:cs="Nunito"/>
        </w:rPr>
      </w:pPr>
    </w:p>
    <w:p w14:paraId="0782B4EF" w14:textId="77777777" w:rsidR="00B476BC" w:rsidRDefault="00000000">
      <w:p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Example:</w:t>
      </w:r>
    </w:p>
    <w:p w14:paraId="3C63E082" w14:textId="77777777" w:rsidR="00B476BC" w:rsidRDefault="00000000">
      <w:pPr>
        <w:rPr>
          <w:rFonts w:ascii="Nunito" w:eastAsia="Nunito" w:hAnsi="Nunito" w:cs="Nunito"/>
          <w:color w:val="0000FF"/>
        </w:rPr>
      </w:pPr>
      <w:r>
        <w:rPr>
          <w:rFonts w:ascii="Nunito" w:eastAsia="Nunito" w:hAnsi="Nunito" w:cs="Nunito"/>
        </w:rPr>
        <w:t xml:space="preserve">” </w:t>
      </w:r>
      <w:r>
        <w:rPr>
          <w:rFonts w:ascii="Roboto" w:eastAsia="Roboto" w:hAnsi="Roboto" w:cs="Roboto"/>
          <w:color w:val="5B6B7B"/>
        </w:rPr>
        <w:t xml:space="preserve">Yearly running cost: </w:t>
      </w:r>
      <w:r>
        <w:rPr>
          <w:rFonts w:ascii="Roboto" w:eastAsia="Roboto" w:hAnsi="Roboto" w:cs="Roboto"/>
          <w:color w:val="0F1E2E"/>
        </w:rPr>
        <w:t>S$1,750/yr</w:t>
      </w:r>
      <w:r>
        <w:rPr>
          <w:rFonts w:ascii="Roboto" w:eastAsia="Roboto" w:hAnsi="Roboto" w:cs="Roboto"/>
          <w:color w:val="5B6B7B"/>
        </w:rPr>
        <w:t xml:space="preserve"> (1.75% a year)”</w:t>
      </w:r>
      <w:r>
        <w:rPr>
          <w:rFonts w:ascii="Nunito" w:eastAsia="Nunito" w:hAnsi="Nunito" w:cs="Nunito"/>
        </w:rPr>
        <w:t xml:space="preserve"> </w:t>
      </w:r>
      <w:r>
        <w:rPr>
          <w:rFonts w:ascii="Nunito" w:eastAsia="Nunito" w:hAnsi="Nunito" w:cs="Nunito"/>
          <w:color w:val="0000FF"/>
        </w:rPr>
        <w:t xml:space="preserve">(Source: Management fee, </w:t>
      </w:r>
      <w:r>
        <w:rPr>
          <w:color w:val="0000FF"/>
          <w:sz w:val="20"/>
          <w:szCs w:val="20"/>
        </w:rPr>
        <w:t>20260615-VINACAPITAL-VDEF_Monthly-Factsheet_May-2026-EN.pdf)</w:t>
      </w:r>
    </w:p>
    <w:p w14:paraId="5EA8B118" w14:textId="77777777" w:rsidR="00B476BC" w:rsidRDefault="00B476BC">
      <w:pPr>
        <w:rPr>
          <w:rFonts w:ascii="Nunito" w:eastAsia="Nunito" w:hAnsi="Nunito" w:cs="Nunito"/>
          <w:color w:val="0000FF"/>
        </w:rPr>
      </w:pPr>
    </w:p>
    <w:p w14:paraId="089EC5B5" w14:textId="77777777" w:rsidR="00B476BC" w:rsidRDefault="00000000">
      <w:pPr>
        <w:rPr>
          <w:rFonts w:ascii="Nunito" w:eastAsia="Nunito" w:hAnsi="Nunito" w:cs="Nunito"/>
          <w:b/>
          <w:bCs/>
        </w:rPr>
      </w:pPr>
      <w:r>
        <w:rPr>
          <w:rFonts w:ascii="Nunito" w:eastAsia="Nunito" w:hAnsi="Nunito" w:cs="Nunito"/>
          <w:b/>
          <w:bCs/>
        </w:rPr>
        <w:t xml:space="preserve">2/ Comparison: </w:t>
      </w:r>
    </w:p>
    <w:p w14:paraId="4E135804" w14:textId="77777777" w:rsidR="00B476BC" w:rsidRDefault="00000000">
      <w:p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We can consider deeper comparison for example:</w:t>
      </w:r>
    </w:p>
    <w:p w14:paraId="5724722F" w14:textId="77777777" w:rsidR="00B476BC" w:rsidRDefault="00000000">
      <w:pPr>
        <w:rPr>
          <w:rFonts w:ascii="Nunito" w:eastAsia="Nunito" w:hAnsi="Nunito" w:cs="Nunito"/>
          <w:b/>
          <w:bCs/>
        </w:rPr>
      </w:pPr>
      <w:r>
        <w:rPr>
          <w:rFonts w:ascii="Nunito" w:eastAsia="Nunito" w:hAnsi="Nunito" w:cs="Nunito"/>
          <w:b/>
          <w:bCs/>
          <w:noProof/>
        </w:rPr>
        <w:drawing>
          <wp:inline distT="114300" distB="114300" distL="114300" distR="114300" wp14:anchorId="63C04C53" wp14:editId="633D0ADB">
            <wp:extent cx="5943600" cy="1168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D6206" w14:textId="0418D9C3" w:rsidR="00B476BC" w:rsidRDefault="00000000">
      <w:pPr>
        <w:rPr>
          <w:rFonts w:ascii="Nunito" w:eastAsia="Nunito" w:hAnsi="Nunito" w:cs="Nunito"/>
          <w:color w:val="0000FF"/>
        </w:rPr>
      </w:pPr>
      <w:r>
        <w:rPr>
          <w:rFonts w:ascii="Nunito" w:eastAsia="Nunito" w:hAnsi="Nunito" w:cs="Nunito"/>
          <w:b/>
          <w:bCs/>
        </w:rPr>
        <w:t xml:space="preserve">3/ </w:t>
      </w:r>
      <w:r w:rsidR="0020019C">
        <w:rPr>
          <w:rFonts w:ascii="Nunito" w:eastAsia="Nunito" w:hAnsi="Nunito" w:cs="Nunito"/>
          <w:b/>
          <w:bCs/>
        </w:rPr>
        <w:t>Information on e</w:t>
      </w:r>
      <w:r>
        <w:rPr>
          <w:rFonts w:ascii="Nunito" w:eastAsia="Nunito" w:hAnsi="Nunito" w:cs="Nunito"/>
          <w:b/>
          <w:bCs/>
        </w:rPr>
        <w:t>xpected return</w:t>
      </w:r>
      <w:bookmarkStart w:id="1" w:name="_bi2x0sgse8b8" w:colFirst="0" w:colLast="0"/>
      <w:bookmarkEnd w:id="1"/>
      <w:r w:rsidR="0020019C">
        <w:rPr>
          <w:rFonts w:ascii="Nunito" w:eastAsia="Nunito" w:hAnsi="Nunito" w:cs="Nunito"/>
          <w:b/>
          <w:bCs/>
        </w:rPr>
        <w:t>s should be reflected</w:t>
      </w:r>
    </w:p>
    <w:p w14:paraId="49E637B4" w14:textId="77777777" w:rsidR="00B476BC" w:rsidRDefault="00000000">
      <w:pPr>
        <w:pStyle w:val="Heading2"/>
        <w:rPr>
          <w:u w:val="single"/>
        </w:rPr>
      </w:pPr>
      <w:r>
        <w:rPr>
          <w:u w:val="single"/>
        </w:rPr>
        <w:t>UI/UX</w:t>
      </w:r>
    </w:p>
    <w:p w14:paraId="1FF3BEB9" w14:textId="77777777" w:rsidR="00B476BC" w:rsidRDefault="00B476BC">
      <w:pPr>
        <w:rPr>
          <w:sz w:val="32"/>
          <w:szCs w:val="32"/>
        </w:rPr>
      </w:pPr>
    </w:p>
    <w:p w14:paraId="64E879E0" w14:textId="77777777" w:rsidR="00B476BC" w:rsidRDefault="00000000">
      <w:pPr>
        <w:rPr>
          <w:rFonts w:ascii="Nunito" w:eastAsia="Nunito" w:hAnsi="Nunito" w:cs="Nunito"/>
          <w:b/>
          <w:bCs/>
          <w:color w:val="0000FF"/>
        </w:rPr>
      </w:pPr>
      <w:commentRangeStart w:id="2"/>
      <w:r>
        <w:rPr>
          <w:rFonts w:ascii="Nunito" w:eastAsia="Nunito" w:hAnsi="Nunito" w:cs="Nunito"/>
          <w:b/>
          <w:bCs/>
          <w:noProof/>
          <w:color w:val="0000FF"/>
        </w:rPr>
        <w:drawing>
          <wp:inline distT="114300" distB="114300" distL="114300" distR="114300" wp14:anchorId="37D65351" wp14:editId="34472983">
            <wp:extent cx="5943600" cy="14097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2"/>
      <w:r>
        <w:rPr>
          <w:rStyle w:val="CommentReference"/>
          <w:rFonts w:ascii="Nunito" w:eastAsia="Nunito" w:hAnsi="Nunito" w:cs="Nunito"/>
          <w:b/>
          <w:bCs/>
          <w:color w:val="0000FF"/>
          <w:sz w:val="22"/>
          <w:szCs w:val="22"/>
        </w:rPr>
        <w:commentReference w:id="2"/>
      </w:r>
    </w:p>
    <w:p w14:paraId="459868D5" w14:textId="77777777" w:rsidR="00B476BC" w:rsidRDefault="00B476BC">
      <w:pPr>
        <w:rPr>
          <w:rFonts w:ascii="Nunito" w:eastAsia="Nunito" w:hAnsi="Nunito" w:cs="Nunito"/>
          <w:b/>
          <w:bCs/>
          <w:color w:val="0000FF"/>
        </w:rPr>
      </w:pPr>
    </w:p>
    <w:p w14:paraId="02FA80C9" w14:textId="574F73F4" w:rsidR="00B476BC" w:rsidRDefault="00B476BC">
      <w:pPr>
        <w:rPr>
          <w:rFonts w:ascii="Nunito" w:eastAsia="Nunito" w:hAnsi="Nunito" w:cs="Nunito"/>
          <w:b/>
          <w:bCs/>
          <w:color w:val="0000FF"/>
        </w:rPr>
      </w:pPr>
    </w:p>
    <w:p w14:paraId="5F2B447B" w14:textId="77777777" w:rsidR="00B476BC" w:rsidRDefault="00000000">
      <w:pPr>
        <w:rPr>
          <w:rFonts w:ascii="Nunito" w:eastAsia="Nunito" w:hAnsi="Nunito" w:cs="Nunito"/>
          <w:b/>
          <w:bCs/>
          <w:color w:val="0000FF"/>
        </w:rPr>
      </w:pPr>
      <w:commentRangeStart w:id="3"/>
      <w:r>
        <w:rPr>
          <w:rFonts w:ascii="Nunito" w:eastAsia="Nunito" w:hAnsi="Nunito" w:cs="Nunito"/>
          <w:b/>
          <w:bCs/>
          <w:noProof/>
          <w:color w:val="0000FF"/>
        </w:rPr>
        <w:drawing>
          <wp:inline distT="114300" distB="114300" distL="114300" distR="114300" wp14:anchorId="6ACFFF1F" wp14:editId="487B2A31">
            <wp:extent cx="5943600" cy="787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3"/>
      <w:r>
        <w:rPr>
          <w:rStyle w:val="CommentReference"/>
          <w:rFonts w:ascii="Nunito" w:eastAsia="Nunito" w:hAnsi="Nunito" w:cs="Nunito"/>
          <w:b/>
          <w:bCs/>
          <w:color w:val="0000FF"/>
          <w:sz w:val="22"/>
          <w:szCs w:val="22"/>
        </w:rPr>
        <w:commentReference w:id="3"/>
      </w:r>
    </w:p>
    <w:p w14:paraId="19EF1BFF" w14:textId="77777777" w:rsidR="00B476BC" w:rsidRDefault="00000000">
      <w:pPr>
        <w:rPr>
          <w:rFonts w:ascii="Nunito" w:eastAsia="Nunito" w:hAnsi="Nunito" w:cs="Nunito"/>
          <w:b/>
          <w:bCs/>
          <w:color w:val="0000FF"/>
        </w:rPr>
      </w:pPr>
      <w:commentRangeStart w:id="4"/>
      <w:r>
        <w:rPr>
          <w:rFonts w:ascii="Nunito" w:eastAsia="Nunito" w:hAnsi="Nunito" w:cs="Nunito"/>
          <w:b/>
          <w:bCs/>
          <w:noProof/>
          <w:color w:val="0000FF"/>
        </w:rPr>
        <w:lastRenderedPageBreak/>
        <w:drawing>
          <wp:inline distT="114300" distB="114300" distL="114300" distR="114300" wp14:anchorId="380E833A" wp14:editId="1FCD115A">
            <wp:extent cx="5943600" cy="19304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4"/>
      <w:r>
        <w:rPr>
          <w:rStyle w:val="CommentReference"/>
          <w:rFonts w:ascii="Nunito" w:eastAsia="Nunito" w:hAnsi="Nunito" w:cs="Nunito"/>
          <w:b/>
          <w:bCs/>
          <w:color w:val="0000FF"/>
          <w:sz w:val="22"/>
          <w:szCs w:val="22"/>
        </w:rPr>
        <w:commentReference w:id="4"/>
      </w:r>
    </w:p>
    <w:p w14:paraId="0511D30B" w14:textId="77777777" w:rsidR="00B476BC" w:rsidRDefault="00B476BC">
      <w:pPr>
        <w:rPr>
          <w:rFonts w:ascii="Nunito" w:eastAsia="Nunito" w:hAnsi="Nunito" w:cs="Nunito"/>
          <w:b/>
          <w:bCs/>
          <w:color w:val="0000FF"/>
        </w:rPr>
      </w:pPr>
    </w:p>
    <w:p w14:paraId="17D9F277" w14:textId="77777777" w:rsidR="00B476BC" w:rsidRDefault="00000000">
      <w:pPr>
        <w:rPr>
          <w:rFonts w:ascii="Nunito" w:eastAsia="Nunito" w:hAnsi="Nunito" w:cs="Nunito"/>
          <w:b/>
          <w:bCs/>
          <w:color w:val="0000FF"/>
        </w:rPr>
      </w:pPr>
      <w:commentRangeStart w:id="5"/>
      <w:r>
        <w:rPr>
          <w:rFonts w:ascii="Nunito" w:eastAsia="Nunito" w:hAnsi="Nunito" w:cs="Nunito"/>
          <w:b/>
          <w:bCs/>
          <w:noProof/>
          <w:color w:val="0000FF"/>
        </w:rPr>
        <w:drawing>
          <wp:inline distT="114300" distB="114300" distL="114300" distR="114300" wp14:anchorId="191F75E6" wp14:editId="66FAC7FA">
            <wp:extent cx="5943600" cy="13843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5"/>
      <w:r>
        <w:rPr>
          <w:rStyle w:val="CommentReference"/>
          <w:rFonts w:ascii="Nunito" w:eastAsia="Nunito" w:hAnsi="Nunito" w:cs="Nunito"/>
          <w:b/>
          <w:bCs/>
          <w:color w:val="0000FF"/>
          <w:sz w:val="22"/>
          <w:szCs w:val="22"/>
        </w:rPr>
        <w:commentReference w:id="5"/>
      </w:r>
    </w:p>
    <w:p w14:paraId="1F376BD1" w14:textId="77777777" w:rsidR="00B476BC" w:rsidRDefault="00B476BC">
      <w:pPr>
        <w:rPr>
          <w:rFonts w:ascii="Nunito" w:eastAsia="Nunito" w:hAnsi="Nunito" w:cs="Nunito"/>
          <w:b/>
          <w:bCs/>
          <w:color w:val="0000FF"/>
        </w:rPr>
      </w:pPr>
    </w:p>
    <w:p w14:paraId="2C2FE753" w14:textId="1E2040B1" w:rsidR="00B476BC" w:rsidRDefault="00B476BC">
      <w:pPr>
        <w:rPr>
          <w:rFonts w:ascii="Nunito" w:eastAsia="Nunito" w:hAnsi="Nunito" w:cs="Nunito"/>
          <w:b/>
          <w:bCs/>
          <w:color w:val="0000FF"/>
        </w:rPr>
      </w:pPr>
    </w:p>
    <w:p w14:paraId="44CA300C" w14:textId="77777777" w:rsidR="00B476BC" w:rsidRDefault="00B476BC">
      <w:pPr>
        <w:rPr>
          <w:rFonts w:ascii="Nunito" w:eastAsia="Nunito" w:hAnsi="Nunito" w:cs="Nunito"/>
          <w:b/>
          <w:bCs/>
          <w:color w:val="0000FF"/>
        </w:rPr>
      </w:pPr>
    </w:p>
    <w:sectPr w:rsidR="00B476BC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Ninh Trang" w:date="2026-06-24T11:14:00Z" w:initials="">
    <w:p w14:paraId="06A844D2" w14:textId="77777777" w:rsidR="00B476BC" w:rsidRDefault="00B819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I rcm these 2 contents we can put in right hand to make the center more focused</w:t>
      </w:r>
    </w:p>
  </w:comment>
  <w:comment w:id="3" w:author="Ninh Trang" w:date="2026-06-24T11:11:00Z" w:initials="">
    <w:p w14:paraId="7289730F" w14:textId="77777777" w:rsidR="00B476BC" w:rsidRDefault="00B819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Can add: "Key Insight" before the content (with a bulb besides) to make the content more visible</w:t>
      </w:r>
    </w:p>
  </w:comment>
  <w:comment w:id="4" w:author="Ninh Trang" w:date="2026-06-24T10:52:00Z" w:initials="">
    <w:p w14:paraId="66243A46" w14:textId="77777777" w:rsidR="00B476BC" w:rsidRDefault="00B819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2. I think "What could happens" into 3 scenarios: </w:t>
      </w:r>
    </w:p>
    <w:p w14:paraId="16DC8778" w14:textId="77777777" w:rsidR="00B476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Best case | Neutral | Conservative</w:t>
      </w:r>
    </w:p>
  </w:comment>
  <w:comment w:id="5" w:author="Ninh Trang" w:date="2026-06-24T10:56:00Z" w:initials="">
    <w:p w14:paraId="7EEED6FC" w14:textId="77777777" w:rsidR="00B476BC" w:rsidRDefault="00B819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Equity typo for the first fund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A844D2" w15:done="0"/>
  <w15:commentEx w15:paraId="7289730F" w15:done="0"/>
  <w15:commentEx w15:paraId="16DC8778" w15:done="0"/>
  <w15:commentEx w15:paraId="7EEED6F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A844D2" w16cid:durableId="01CFFBA2"/>
  <w16cid:commentId w16cid:paraId="7289730F" w16cid:durableId="25F7BE76"/>
  <w16cid:commentId w16cid:paraId="16DC8778" w16cid:durableId="1BFD4877"/>
  <w16cid:commentId w16cid:paraId="7EEED6FC" w16cid:durableId="4CC61B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FD0A1" w14:textId="77777777" w:rsidR="000B2A8E" w:rsidRDefault="000B2A8E">
      <w:pPr>
        <w:spacing w:line="240" w:lineRule="auto"/>
      </w:pPr>
      <w:r>
        <w:separator/>
      </w:r>
    </w:p>
  </w:endnote>
  <w:endnote w:type="continuationSeparator" w:id="0">
    <w:p w14:paraId="78CF788A" w14:textId="77777777" w:rsidR="000B2A8E" w:rsidRDefault="000B2A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6955AE45-3F80-4342-897F-B86AA2797205}"/>
    <w:embedBold r:id="rId2" w:fontKey="{49D455C6-4B92-4F7D-B970-337C6F4798B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B8F1672F-7BCE-4E0C-9875-E7083F5067C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BBE7741-7696-4DE0-BF20-22F0EE44C3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29691C-C461-4A4C-AD21-F0AD1C2948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18667" w14:textId="77777777" w:rsidR="000B2A8E" w:rsidRDefault="000B2A8E">
      <w:pPr>
        <w:spacing w:line="240" w:lineRule="auto"/>
      </w:pPr>
      <w:r>
        <w:separator/>
      </w:r>
    </w:p>
  </w:footnote>
  <w:footnote w:type="continuationSeparator" w:id="0">
    <w:p w14:paraId="7075519C" w14:textId="77777777" w:rsidR="000B2A8E" w:rsidRDefault="000B2A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D1EE" w14:textId="77777777" w:rsidR="00B476BC" w:rsidRDefault="00B476B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6BC"/>
    <w:rsid w:val="000B2A8E"/>
    <w:rsid w:val="0020019C"/>
    <w:rsid w:val="00A91E76"/>
    <w:rsid w:val="00B476BC"/>
    <w:rsid w:val="00B819B2"/>
    <w:rsid w:val="00FF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CCFE"/>
  <w15:docId w15:val="{24C0553A-78E1-4E46-A51A-C737B2FF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Choo Jun Hao</dc:creator>
  <cp:lastModifiedBy>CHOO Jun Hao</cp:lastModifiedBy>
  <cp:revision>3</cp:revision>
  <dcterms:created xsi:type="dcterms:W3CDTF">2026-06-24T12:10:00Z</dcterms:created>
  <dcterms:modified xsi:type="dcterms:W3CDTF">2026-06-24T12:13:00Z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e7cd82fc-802e-4ce7-a34d-9a2337fdd921</vt:lpwstr>
  </property>
</Properties>
</file>