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left"/>
      </w:pPr>
      <w:r>
        <w:rPr>
          <w:rFonts w:ascii="Malgun Gothic" w:cs="Malgun Gothic" w:eastAsia="Malgun Gothic" w:hAnsi="Malgun Gothic"/>
          <w:b/>
          <w:bCs/>
          <w:sz w:val="64"/>
          <w:szCs w:val="64"/>
        </w:rPr>
        <w:t xml:space="preserve">ISL Studio</w:t>
      </w:r>
    </w:p>
    <w:p>
      <w:pPr>
        <w:spacing w:after="120"/>
      </w:pPr>
      <w:r>
        <w:rPr>
          <w:rFonts w:ascii="Malgun Gothic" w:cs="Malgun Gothic" w:eastAsia="Malgun Gothic" w:hAnsi="Malgun Gothic"/>
          <w:sz w:val="32"/>
          <w:szCs w:val="32"/>
        </w:rPr>
        <w:t xml:space="preserve">현장용액채광(In-Situ Leaching) 비교 시뮬레이터</w:t>
      </w:r>
    </w:p>
    <w:p>
      <w:pPr>
        <w:spacing w:after="800"/>
      </w:pPr>
      <w:r>
        <w:rPr>
          <w:rFonts w:ascii="Malgun Gothic" w:cs="Malgun Gothic" w:eastAsia="Malgun Gothic" w:hAnsi="Malgun Gothic"/>
          <w:color w:val="555555"/>
          <w:sz w:val="24"/>
          <w:szCs w:val="24"/>
        </w:rPr>
        <w:t xml:space="preserve">사용 설명서 · 프로토타입 v1.0 (Phase 1 완료판)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이온흡착형 중희토류 광상의 사면 중력식 침출과, 피압대수층의 정호 패턴식 침출을 같은 화면에서 비교하는 웹 프로토타입입니다. 브라우저에서 단일 HTML 파일로 실행되며, OpenGeoSys 참조해를 불러와 근사 모델과 겹쳐 볼 수 있습니다.</w:t>
      </w:r>
    </w:p>
    <w:p>
      <w:pPr>
        <w:spacing w:after="120"/>
      </w:pPr>
    </w:p>
    <w:p>
      <w:pPr>
        <w:pBdr>
          <w:left w:val="single" w:color="B5652E" w:sz="12" w:space="8"/>
        </w:pBdr>
        <w:spacing w:after="160" w:before="80"/>
        <w:ind w:left="36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예시용 프로토타입입니다. 거친 근사 모델이며 설계·인허가·환경영향평가의 근거로 사용할 수 없습니다. 기본값은 공개 문헌 인용치이고 특정 광산의 실측값이 아닙니다.</w:t>
      </w:r>
    </w:p>
    <w:p>
      <w:pPr>
        <w:spacing w:after="120" w:line="320"/>
        <w:rPr>
          <w:color w:val="555555"/>
        </w:rPr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2026년 9월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목차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1. 개요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1.1 무엇을 위한 도구인가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1.2 누구를 위한 것인가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1.3 이 문서가 다루지 않는 것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2. 시작하기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2.1 실행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2.2 권장 환경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2.3 첫 5분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3. 화면 구성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3.1 3D 화면 조작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3.2 재생 속도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4. 탭 1 — 사면 중력식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4.1 무엇을 모사하는가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4.2 제어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4.3 표시 항목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4.4 지표 읽는 법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4.5 보여줄 만한 장면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5. 탭 2 — 정호 패턴식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5.1 무엇을 모사하는가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5.2 제어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5.3 유선 — 봉쇄의 판정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5.4 표시 항목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5.5 지표 읽는 법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5.6 보여줄 만한 장면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6. 탭 3 — 비교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7. OpenGeoSys 참조해 연동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7.1 흐름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7.2 물질수지 경고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7.3 시나리오 라이브러리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8. 이 모델이 하는 것과 하지 않는 것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9. 검증 결과 요약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10. 파일 구성과 재현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10.1 OGS 키트 재현</w:t>
      </w:r>
    </w:p>
    <w:p>
      <w:pPr>
        <w:spacing w:after="20"/>
        <w:ind w:left="48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10.2 소스 구조 (개발자용)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11. 참고문헌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1.1 무엇을 위한 도구인가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도구는 두 가지 현장용액채광 방식을 나란히 놓고, 회수·유실·안전 지표가 운영 변수에 따라 어떻게 함께 움직이는지 보여줍니다.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사면 중력식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이온흡착형 희토류 광상(중국 남부·미얀마·라오스)에서 쓰는 방식. 불포화 사면 상부에 황산암모늄 용액을 주입하고 하단 집액구에서 중력으로 모액을 받습니다. 압력으로 흐름을 제어할 수 없어 유출은 자연 차수층의 연속성에 달려 있습니다.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정호 패턴식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우라늄·구리 ISR에서 쓰는 방식. 포화 피압대수층에 주입정과 회수정을 격자로 배치하고, 양수량을 주입량보다 몇 % 많게(bleed) 유지해 침출액을 수리학적으로 가둡니다.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핵심 메시지는 하나입니다. 두 방식의 환경 영향 차이는 시약이 아니라 수리지질에서 옵니다. 사면식은 구조적으로 봉쇄가 불가능하고, 패턴식은 봉쇄가 가능하지만 지질 조건과 상시 양수·감시 비용을 요구합니다.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1.2 누구를 위한 것인가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정책·의사결정자: 배리어 유무, bleed 유무에 따라 유실이 어떻게 달라지는지 눈으로 확인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기술 검토자: 근사 모델의 가정과 한계, OpenGeoSys 참조해 대비 오차 범위를 확인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개발자: 물리 모듈·렌더러·OGS 연동 파이프라인의 구조를 파악해 확장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1.3 이 문서가 다루지 않는 것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물리 모델의 유도, 코드 구조, OGS 파이프라인의 상세는 함께 배포되는 README.md와 COMPARE.md에 있습니다. 이 문서는 화면을 열어 조작하고 결과를 읽는 방법에 집중합니다.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2. 시작하기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2.1 실행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isl-studio.html 파일 하나를 최신 Chrome, Edge, Firefox, Safari에서 엽니다. 설치가 필요 없습니다. WebGL을 지원하는 브라우저면 됩니다.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3D 렌더링 라이브러리(three.js r128)를 CDN에서 불러오므로 처음 열 때 인터넷 연결이 필요합니다. 오프라인 환경에서는 라이브러리를 내장한 isl-studio-offline.html을 쓰십시오. 기능은 같습니다.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2.2 권장 환경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 폭 1,400 px 이상. 좌측 제어 패널(268 px)과 우측 지표 패널(300 px) 사이에 3D 화면이 들어갑니다.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통합 그래픽으로도 충분합니다. 사면식은 27,000 셀, 패턴식은 6,400 셀을 매 프레임 갱신합니다.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탭 전환 시 계산 상태가 초기화되지는 않지만 재생은 멈춥니다.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2.3 첫 5분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사면 중력식 탭에서 재생을 누릅니다. 속도는 “보통”으로 두십시오. 침출액(시안색)이 표토를 지나 기반암 위에 고이고 사면 아래로 흐르는 것을 봅니다.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하단 절개 슬라이더를 왼쪽으로 옮겨 종단면을 엽니다. 층 구분과 침윤선이 보입니다.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좌측 “기반암 차수층 결손”을 켜고 초기화 후 다시 재생합니다. 유실률이 뛰는 것을 봅니다.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정호 패턴식 탭으로 가서 Bleed 슬라이더를 −10 %로 내립니다. 유선이 적색으로 바뀌며 경계 밖으로 나갑니다. +5 %로 되돌리면 사라집니다. 이 장면이 두 방식의 차이입니다.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비교 탭에서 “현재 설정으로 두 방식 계산”을 누릅니다.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3. 화면 구성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그림 3-1. 전체 화면 (사면 중력식 탭, 76일차 정수 단계)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6200"/>
      </w:tblGrid>
      <w:tr>
        <w:trPr>
          <w:tblHeader/>
        </w:trPr>
        <w:tc>
          <w:tcPr>
            <w:tcW w:type="dxa" w:w="15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14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62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경고 배너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최상단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프로토타입임을 알리는 고정 문구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탭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배너 아래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사면 중력식 / 정호 패턴식 / 비교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제어 패널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좌측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주입 조건, 배리어·운전 조건, 대수층, OGS 연동. 탭마다 내용이 바뀝니다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3D 화면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중앙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지질 블록과 용액 분포. 마우스 드래그 회전, 휠 확대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표시 항목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3D 좌상단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어떤 물리량을 색으로 칠할지 선택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상태 상자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3D 우상단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경과 시간(일 또는 PV), 현재 단계, 지금 일어나는 일의 한 줄 설명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범례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3D 우하단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면(색)과 선·표식의 의미. 표시 항목·배리어 상태에 따라 갱신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지표 패널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우측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대형 지표 3개, 경고, 시간 이력 차트, 상세 지표(접힘), 모델 한계(접힘)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타임라인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최하단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재생/초기화, 진행 막대, 속도 3단, 절개 슬라이더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3.1 3D 화면 조작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회전: 마우스 왼쪽 버튼 드래그. 확대·축소: 휠. 사면 탭은 비스듬한 측면 시점, 패턴 탭은 위에서 내려다보는 시점이 기본입니다.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절개: 하단 슬라이더를 왼쪽으로 옮기면 블록이 잘리고 잘린 면에 종단면이 그려집니다. 100 %가 절개 없음입니다.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3D 안에는 글자가 없습니다. 무엇이 무엇인지는 우하단 범례에서 읽습니다.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3.2 재생 속도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“느리게”는 프레임당 부분스텝 1회, “보통”은 3회, “빠르게”는 10회입니다. 사면식 120일은 느리게 약 2분, 패턴식 7 PV는 보통 약 1분입니다. 용액이 번지는 과정을 보려면 느리게, 결과만 보려면 빠르게가 맞습니다.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4. 탭 1 — 사면 중력식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4.1 무엇을 모사하는가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100 × 60 m 사면 도메인을 2.5 m 격자(40 × 24 × 28 셀)로 나눕니다. 표토(1.5 m), 전풍화층(광체, 10 m), 반풍화층(6.5 m), 기반암(자연 차수층)의 4개 층이 지형을 따라 놓입니다. 투수계수는 Yuan et al. (2025) Table 1의 7.08 / 2.59 / 1.30 / 0.00038 m/d를 씁니다. 표토와 기반암 사이에 네 자릿수 차이가 있어 침출액은 표토를 순식간에 지나 기반암 위에서 멈춥니다.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시간은 일(日)입니다. 0–35일 침출(상·중·하 구역을 5일 간격 순차 주입), 35–77일 정수(頂水, 물만 주입), 77–120일 배수·모니터링.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4.2 제어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500"/>
      </w:tblGrid>
      <w:tr>
        <w:trPr>
          <w:tblHeader/>
        </w:trPr>
        <w:tc>
          <w:tcPr>
            <w:tcW w:type="dxa" w:w="20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6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범위 · 기본값</w:t>
            </w:r>
          </w:p>
        </w:tc>
        <w:tc>
          <w:tcPr>
            <w:tcW w:type="dxa" w:w="45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주입강도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0.005–0.150 · 0.042 m/d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주입공당 면적 주입속도. Wang et al. (2022) 시험채굴장 값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침출제 농도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0.05–0.50 · 0.25 mol/L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황산암모늄. Wu et al. (2023)이 경제적이라 본 범위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교환성 희토류 품위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0.010–0.110 · 0.050 wt%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이온교환으로 회수 가능한 분율만. 모나자이트 등 난용성은 제외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집액구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항상 켜짐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사면 하단 기반암 경계의 모액 회수 도랑. 기본 조치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도액공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켜기/끄기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집액구 상부 수평공. 포집 효율 +15 %p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하류 차수벽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켜기/끄기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하단 경계 저투수 벽체. 격자 투수계수를 직접 낮춤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양수 차단정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켜기/끄기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집액구 상류 회수정. 포집 효율 +8 %p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기반암 차수층 결손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켜기/끄기 (위험 시나리오)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중부 사면 기반암에 고투수 창(0.6 m/d)을 넣어 자연 차수층 결손을 모사</w:t>
            </w:r>
          </w:p>
        </w:tc>
      </w:tr>
    </w:tbl>
    <w:p>
      <w:pPr>
        <w:spacing w:after="120"/>
      </w:pPr>
    </w:p>
    <w:p>
      <w:pPr>
        <w:pBdr>
          <w:left w:val="single" w:color="B5652E" w:sz="12" w:space="8"/>
        </w:pBdr>
        <w:spacing w:after="160" w:before="80"/>
        <w:ind w:left="36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품위를 바꾸면 초기 흡착량이 달라지므로 자동으로 초기화됩니다. 나머지는 재생 중에도 바꿀 수 있습니다.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4.3 표시 항목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6100"/>
      </w:tblGrid>
      <w:tr>
        <w:trPr>
          <w:tblHeader/>
        </w:trPr>
        <w:tc>
          <w:tcPr>
            <w:tcW w:type="dxa" w:w="16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색</w:t>
            </w:r>
          </w:p>
        </w:tc>
        <w:tc>
          <w:tcPr>
            <w:tcW w:type="dxa" w:w="61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무엇을 보는가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침출액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시안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황산암모늄 농도. 용액이 어디까지 갔는지. 기본값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모액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황 → 적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용액 중 희토류 농도. 집액구로 오는 회수 대상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포화도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남색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침출액 포화도. 정체수가 어디 고이는지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침출 진행도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보라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초기 흡착량 대비 얼마나 씻겼는지. 상부에 남는 미침출 구역이 회수율 한계의 이유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그림 4-1. 절개 종단면. 파선이 기반암 상면(자연 차수층), 밝은 청록 실선이 침윤선(포화 상단), 호박색 사각형이 집액구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4.4 지표 읽는 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회수율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집액구로 회수된 희토류 / 초기 교환성 흡착량. 120일 기준 약 38 %. 액/고 비가 실제 조업(0.5–1.0)보다 낮은 0.16이라 낮게 나옵니다. 절대값보다 설정 간 상대 비교로 읽으십시오.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유실률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주입량 중 회수되지 않고 도메인을 빠져나간 물의 비율. 상세 지표에서 지표 유출 / 기반암 저면 / 하류 측방 세 경로로 나뉩니다.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최소 안전율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중앙 종단면에서 Bishop 간이법 원호 탐색. 허용치 1.1(DZ/T 0218-2006). 침출과 함께 1.6에서 1.2대로 떨어졌다가 배수 후 회복합니다. 전풍화층 강도는 침출 진행도에 따라 최대 0.70배까지 저감됩니다(Yuan et al. 2025).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물질수지 잔차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상세 지표 맨 아래. 주입 = 회수 + 유실 + 잔류가 항상 0에 붙어 있어야 합니다. 이 값이 0에서 벗어나면 모델이 아니라 버그입니다.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4.5 보여줄 만한 장면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주입강도를 0.042에서 0.12 m/d로 올리면 회수율은 오히려 떨어지고(38 → 27 %), 유실 12 %, 안전율 0.77. 과잉 주입은 회수에 기여하지 않으면서 환경부하와 사면위험만 키운다는 Wu et al.·Nugroho의 결론이 재현됩니다.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기반암 결손을 켜면 저면 누출이 21 %로 뜁니다. 자연 차수층 하나에 의존하는 방식의 취약성입니다.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배리어를 전부 켜도 회수율은 38 → 40 %입니다. 사면식에서는 배리어가 봉쇄를 만들지 못하고 포집을 조금 돕는 데 그칩니다.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5. 탭 2 — 정호 패턴식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5.1 무엇을 모사하는가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두께 8 m의 포화 피압대수층을 80 × 80 평면 격자로 풉니다. 수두는 정호 조건이 바뀔 때만 Laplace 방정식을 다시 풀고(SOR), 그 속도장으로 침출액과 회수 대상을 이류·분산시킵니다. 위아래 차수층은 흐름에 참여하지 않습니다. 도메인 크기는 정호군 크기에 맞춰 자동으로 정해집니다(기본 288 m).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시간은 일이 아니라 누적 양수 공극체적(PV)입니다. 우라늄 ISR 실무 단위이고, 정호 간격이 달라도 같은 기준으로 비교할 수 있습니다. 0–5 PV 침출, 5–7 PV 복원(주입 정지, 양수 지속).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그림 5-1. 기본 설정(5-spot, 50 m, 외곽 회수정, bleed +5 %) 침출 중. 유선이 모두 청록(포집)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5.2 제어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400"/>
      </w:tblGrid>
      <w:tr>
        <w:trPr>
          <w:tblHeader/>
        </w:trPr>
        <w:tc>
          <w:tcPr>
            <w:tcW w:type="dxa" w:w="23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4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범위 · 기본값</w:t>
            </w:r>
          </w:p>
        </w:tc>
        <w:tc>
          <w:tcPr>
            <w:tcW w:type="dxa" w:w="44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패턴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5-spot / 7-spot / Line drive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정호 배치 규칙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정호 간격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20–80 · 50 m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1급 변수. SME 핸드북 15–61 m, Honeymoon(2026) 50–60 m 시험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패턴 규모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1×1 – 3×3 · 2×2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패턴 반복 수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외곽 정호 = 회수정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켜기 · 기본 켜짐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켜면 회수정이 바깥을 둘러쌈(Florence Copper 방식, 주입 4 : 회수 9). 끄면 주입정이 바깥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주입량 / 정호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30–300 · 100 m³/d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투수계수가 낮으면 허용 수위강하(15 m) 안에서 자동 제한됨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Bleed (양수 − 주입)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−15 – +15 · +5 %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양수가 주입보다 많으면 안쪽으로 동수경사가 생겨 침출액이 갇힘. 음수면 밖으로 밀려남. IAEA NF-T-1.4: 수 %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침출제 농도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0.05–0.50 · 0.25 mol/L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교환성 품위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0.010–0.110 · 0.050 wt%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투수계수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0.05–5 · 1.0 m/d (로그)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IAEA 경험칙: 1 m/d 이상 유리, 0.1 m/d 이하 불가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지역 동수경사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0–0.020 · 0.002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배경 지하수 흐름(+x 방향). 크면 하류로 밀림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종분산도 αL (목표)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0–5 · 2.0 m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물리 분산. 브라우저는 격자 수치분산(Δx/2)을 빼고 적용. OGS와 같은 값을 공유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횡분산도 αT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0–1 · 0.2 m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이온흡착형 풍화토 가정 [가설]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켜기/끄기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투수계수를 0.16 m/d로. 사면형 광상은 불포화·비폐색이라 본래 대상이 아님. 포화대 평탄 광상 사례 미확보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5.3 유선 — 봉쇄의 판정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주입정마다 12개 유선을 속도장에서 추적합니다. 색이 곧 판정입니다.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청록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회수정에 도달. 포집됨.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적색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도메인 경계 밖으로 이탈. 봉쇄 실패.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회색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속도가 0에 가까운 정체점에서 멈춤.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그림 5-2. Bleed −10 %. 주입이 양수를 초과하자 유선 17 %가 적색으로 바뀌며 밖으로 나간다. 상태 상자와 경고가 이를 알린다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실선 사각형은 광체 범위(회수율의 분모), 점선 사각형은 감시정 링입니다. 감시정 12공은 회색 원기둥이고, 추적자가 관리치(주입 농도의 3 %)를 2회 연속 넘으면 적색으로 바뀝니다. 실제 규정(미국 NRC)은 염화물·전기전도도·총알칼리도 중 2개 지시항목의 동시 초과를 excursion으로 정의합니다. 여기서는 추적자 하나로 대체했습니다.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5.4 표시 항목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900"/>
      </w:tblGrid>
      <w:tr>
        <w:trPr>
          <w:tblHeader/>
        </w:trPr>
        <w:tc>
          <w:tcPr>
            <w:tcW w:type="dxa" w:w="22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무엇을 보는가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침출액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추적자 농도. 플룸이 어디까지 갔는지. 기본값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모액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용액 중 회수 대상 농도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침출 진행도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sweep. 정호 사이에 침출액이 닿지 않는 꽃잎 모양 정체 구역이 남는 것이 회수 한계의 이유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수두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압력면. 등고선과 함께. 주입정에서 솟고 회수정에서 꺼짐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그림 5-3. 절개 종단면. 두 차수층 사이의 대수층, 그 구간에만 걸린 정호 스크린, 대수층 위에 그린 수두면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5.5 지표 읽는 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회수율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회수정으로 회수된 대상 / 초기 흡착량. 기본 설정 7 PV에 약 90 %.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유실률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현재 도메인 내 침출액 중 광체 범위 밖에 있는 비율. 복원 양수로 되끌려오면 줄어듭니다. 상세 지표의 “유실률 최대(침출 중)”가 조업 중 최악값입니다.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감시정 초과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12공 중 알람 상태인 수.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 PV 소요 —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상세 지표. 투수계수를 낮추면 정호당 주입량이 제한되어 이 값이 급격히 늘어납니다. 이온흡착형 가정(0.16 m/d)에서 135 → 695일.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5.6 보여줄 만한 장면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Bleed +5 → 0 → −10 %. 유선 이탈 0 → 4 → 17 %. 봉쇄가 수리학적으로 만들어지고 깨지는 과정.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외곽 정호를 주입정으로 바꾸고 bleed를 음수로. 이탈 23 %. 회수정이 바깥에 있어야 하는 이유.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간격 30 → 70 m. 1 PV가 49 → 265일. 정호 수는 같은데 체류시간이 5배. Honeymoon이 광역 간격으로 간 논리.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이온흡착형 가정 켜기. 정호당 주입 100 → 19 m³/d, 1 PV 695일. 같은 기간을 맞추려면 정호를 5배 촘촘히 박아야 합니다. 이 방식이 이온흡착형에 맞지 않는 이유가 숫자로 나옵니다.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6. 탭 3 — 비교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“현재 설정으로 두 방식 계산”을 누르면 두 탭에서 조정한 설정 그대로 두 모델을 끝까지 돌려(사면 120일, 패턴 7 PV) 나란히 놓습니다. 수 초 걸립니다.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그림 6-1. 비교 탭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 아래 소견은 자동 생성됩니다. 봉쇄 여부, 그 대가(정호 수·상시 양수·감시정·복원), 지질 조건(이온흡착형 가정 시 정호 밀도), 그리고 한 문장 결론.</w:t>
      </w:r>
    </w:p>
    <w:p>
      <w:pPr>
        <w:pBdr>
          <w:left w:val="single" w:color="B5652E" w:sz="12" w:space="8"/>
        </w:pBdr>
        <w:spacing w:after="160" w:before="80"/>
        <w:ind w:left="360"/>
      </w:pPr>
      <w:r>
        <w:rPr>
          <w:rFonts w:ascii="Malgun Gothic" w:cs="Malgun Gothic" w:eastAsia="Malgun Gothic" w:hAnsi="Malgun Gothic"/>
          <w:color w:val="444444"/>
          <w:sz w:val="19"/>
          <w:szCs w:val="19"/>
        </w:rPr>
        <w:t xml:space="preserve">시간축과 면적이 다릅니다(사면 6,000 m² · 120일, 패턴 22,500 m² · 7 PV). 절대값이 아니라 비율과 방향으로 읽으십시오. 패턴식의 시약은 순환 총량이라 실제 소비보다 훨씬 큽니다.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7. OpenGeoSys 참조해 연동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패턴 탭 좌측 맨 아래 “OGS 참조해 연동” 섹션입니다. 브라우저 근사 모델이 얼마나 정확한지를 오픈소스 유한요소 코드(OpenGeoSys 6.5.9)의 결과와 같은 화면에서 비교합니다.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7.1 흐름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패턴 탭에서 설정을 정하고 “scenario.json 내보내기”를 누릅니다. 격자, 대수층, 정호 좌표·유량, 분산도, 농도, 일정이 계약 v0.1 형식으로 저장됩니다.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키트(ogs-phase1-kit.zip)의 runner/make_case.py에 그 파일을 넣어 OGS 케이스를 만들고, runner/run_case.py로 실행·후처리합니다. 기본 시나리오 675일이 1코어 약 7분입니다.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나온 results.json과 fields.bin 두 파일을 “파일 선택”에서 함께 고릅니다. 격자 크기나 도메인이 다르면 거부됩니다. 같은 시나리오여야 비교가 성립하기 때문입니다.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“OGS 참조해 표시”를 켭니다. 침출액·수두 모드가 OGS 결과를 그리고, 브라우저 계산은 그대로 진행되어 상세 지표에 수두 RMS 차, 추적자 R², OGS sweep 접촉율이 뜹니다. 상단 단계 표시에 [OGS 참조해 표시 중]이 붙습니다.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7.2 물질수지 경고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참조해를 불러올 때 도메인 잔존/누적 주입 비와 회수정 최대 농도를 검사합니다. 파과 후 잔존비가 0.95를 넘거나 회수정 농도가 주입 농도의 1.2배를 넘으면 경고가 뜹니다. 회수정이 물만 빼고 용질을 빼지 않는 결함(OGS의 FullUpwind 안정화 또는 보존형 이송방정식과 절점 싱크의 조합)이 있을 때 나타나는 증상입니다. Phase 1에서 실제로 겪었고, 그 기록이 COMPARE.md에 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그림 7-1. 결함 참조해 두 개(회색 파선)는 잔존비 1.0에 붙어 있고, 수정된 참조해(주황)와 브라우저(파랑)는 함께 내려간다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7.3 시나리오 라이브러리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ogs-phase1-lib.zip에 3 패턴 × 2 간격(30, 50 m) × 2 bleed(+5, −10 %) = 12개 케이스의 참조해가 들어 있습니다. 패턴 탭에서 같은 설정을 맞춘 뒤 해당 폴더의 두 파일을 불러오면 됩니다. 용량 때문에 프레임을 10일 간격으로 솎았습니다.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8. 이 모델이 하는 것과 하지 않는 것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우측 패널의 “이 모델이 하지 않는 것”을 펼치면 탭별 목록이 나옵니다. 요약하면 다음과 같습니다.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3800"/>
      </w:tblGrid>
      <w:tr>
        <w:trPr>
          <w:tblHeader/>
        </w:trPr>
        <w:tc>
          <w:tcPr>
            <w:tcW w:type="dxa" w:w="1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34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하는 것</w:t>
            </w:r>
          </w:p>
        </w:tc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하지 않는 것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이온교환을 1차 속도식 + 포화항으로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Kerr/Gapon 선택계수, 활동도, 음이온 차폐, 우라늄 산화·탄산염 화학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불포화 흐름 (사면)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중력 지배 배수 근사, 포화 셀 측방류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Richards 방정식, 모관 흡수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포화 흐름 (패턴)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2D 정류 Laplace, 정호 소스/싱크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연직 sweep, 층상 불균질, 비정류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분산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패턴 탭: 면 속도 기반 대각 텐서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교차항, 사면 탭의 물리 분산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투수계수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층별 상수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점토 팽윤·신생 점토·석고 침전에 의한 변화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사면 안정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중앙 단면 Bishop 간이법, 침출 진행도 연동 강도 저감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3차원 효과, 인장균열, 지진하중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excursion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추적자 1개, 2회 연속 초과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규정의 지시항목 2개 동시 초과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복원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지하수 스윕만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역삼투 재주입, 환원 재순환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스케일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단일 채굴장 (100 m급)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광역 영향의 면적 환산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검증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OGS 참조해 대비 (패턴 탭)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보정. 참조해도 가정 위에 있음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9. 검증 결과 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패턴 탭을 OpenGeoSys 참조해와 12개 시나리오에서 비교했습니다. 상세는 COMPARE.md에 있습니다.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100"/>
      </w:tblGrid>
      <w:tr>
        <w:trPr>
          <w:tblHeader/>
        </w:trPr>
        <w:tc>
          <w:tcPr>
            <w:tcW w:type="dxa" w:w="24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6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브라우저 − OGS</w:t>
            </w:r>
          </w:p>
        </w:tc>
        <w:tc>
          <w:tcPr>
            <w:tcW w:type="dxa" w:w="41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해석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수두 RMS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0.13 m (범위의 1 %)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흐름 풀이는 참조해와 같다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sweep 접촉율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±1 %p (분산항 도입 후)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회수 한계 논의에 그대로 사용 가능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광체 밖 유출, 봉쇄 유지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±1 %p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중앙값으로 읽는다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광체 밖 유출, 봉쇄 실패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+3~5 %p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그때만 상한으로 읽는다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파과 시각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0~6일 늦음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운영 일정에는 무시 가능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그림 9-1. 270일 추적자 필드. 브라우저(좌), OGS(중), 차이(우). 차이는 플룸 가장자리 얇은 띠뿐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사면 탭은 참조해가 없습니다. 문헌(Yuan et al. 2025)의 안전율 추이(1.79 → 1.30 → 회복)와 침윤선 상승, Wu et al.·Nugroho의 “과잉 주입은 회수에 기여하지 않는다”를 정성적으로 재현하는 수준입니다.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10. 파일 구성과 재현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500"/>
      </w:tblGrid>
      <w:tr>
        <w:trPr>
          <w:tblHeader/>
        </w:trPr>
        <w:tc>
          <w:tcPr>
            <w:tcW w:type="dxa" w:w="26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65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isl-studio.html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프로그램 본체. 단일 파일. CDN에서 three.js 로드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isl-studio-offline.html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같은 프로그램, three.js 내장 (0.7 MB)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ogs-phase1-kit.zip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OGS 연동 키트: 스키마, 러너 스크립트, prj 템플릿, 기본 케이스, README, COMPARE.md, 그림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ogs-phase1-lib.zip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시나리오 라이브러리 12개 참조해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COMPARE.md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검증 결과 보고. 참조해 결함 기록 포함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MANUAL.docx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 문서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10.1 OGS 키트 재현</w:t>
      </w:r>
    </w:p>
    <w:p>
      <w:pPr>
        <w:shd w:fill="F2F2F2" w:color="auto" w:val="clear"/>
        <w:spacing w:after="60"/>
      </w:pPr>
      <w:r>
        <w:rPr>
          <w:rFonts w:ascii="Consolas" w:cs="Consolas" w:eastAsia="Consolas" w:hAnsi="Consolas"/>
          <w:sz w:val="17"/>
          <w:szCs w:val="17"/>
        </w:rPr>
        <w:t xml:space="preserve">pip install -r requirements.txt            # ogs==6.5.9, meshio, numpy, jsonschema</w:t>
      </w:r>
    </w:p>
    <w:p>
      <w:pPr>
        <w:shd w:fill="F2F2F2" w:color="auto" w:val="clear"/>
        <w:spacing w:after="60"/>
      </w:pPr>
      <w:r>
        <w:rPr>
          <w:rFonts w:ascii="Consolas" w:cs="Consolas" w:eastAsia="Consolas" w:hAnsi="Consolas"/>
          <w:sz w:val="17"/>
          <w:szCs w:val="17"/>
        </w:rPr>
        <w:t xml:space="preserve">python runner/make_case.py schema/example.pattern.json cases/base</w:t>
      </w:r>
    </w:p>
    <w:p>
      <w:pPr>
        <w:shd w:fill="F2F2F2" w:color="auto" w:val="clear"/>
        <w:spacing w:after="60"/>
      </w:pPr>
      <w:r>
        <w:rPr>
          <w:rFonts w:ascii="Consolas" w:cs="Consolas" w:eastAsia="Consolas" w:hAnsi="Consolas"/>
          <w:sz w:val="17"/>
          <w:szCs w:val="17"/>
        </w:rPr>
        <w:t xml:space="preserve">python runner/run_case.py cases/base       # OGS 실행 + results.json / fields.bin</w:t>
      </w:r>
    </w:p>
    <w:p>
      <w:pPr>
        <w:shd w:fill="F2F2F2" w:color="auto" w:val="clear"/>
        <w:spacing w:after="60"/>
      </w:pPr>
      <w:r>
        <w:rPr>
          <w:rFonts w:ascii="Consolas" w:cs="Consolas" w:eastAsia="Consolas" w:hAnsi="Consolas"/>
          <w:sz w:val="17"/>
          <w:szCs w:val="17"/>
        </w:rPr>
        <w:t xml:space="preserve">node browser/make_browser_snapshots.js cases/browser 2.0 0.2 21 135 270 405 540</w:t>
      </w:r>
    </w:p>
    <w:p>
      <w:pPr>
        <w:shd w:fill="F2F2F2" w:color="auto" w:val="clear"/>
        <w:spacing w:after="60"/>
      </w:pPr>
      <w:r>
        <w:rPr>
          <w:rFonts w:ascii="Consolas" w:cs="Consolas" w:eastAsia="Consolas" w:hAnsi="Consolas"/>
          <w:sz w:val="17"/>
          <w:szCs w:val="17"/>
        </w:rPr>
        <w:t xml:space="preserve">python runner/compare.py cases/base cases/browser/browser_snapshot_day*.json</w:t>
      </w:r>
    </w:p>
    <w:p>
      <w:pPr>
        <w:shd w:fill="F2F2F2" w:color="auto" w:val="clear"/>
        <w:spacing w:after="60"/>
      </w:pPr>
      <w:r>
        <w:rPr>
          <w:rFonts w:ascii="Consolas" w:cs="Consolas" w:eastAsia="Consolas" w:hAnsi="Consolas"/>
          <w:sz w:val="17"/>
          <w:szCs w:val="17"/>
        </w:rPr>
        <w:t xml:space="preserve">python runner/make_library.py                # 12 케이스, 1코어 약 60분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</w:rPr>
        <w:t xml:space="preserve">10.2 소스 구조 (개발자용)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isl-studio.html의 스크립트는 네 부분입니다. 공통 유틸(색 스케일, 차트, DOM 빌더, 카메라), Slope 모듈, Pattern 모듈, 셸(탭·렌더러·타임라인·비교). 두 물리 모듈은 같은 인터페이스(reset / advance / tick / drawSection / ui / batch)로 셸에 물리고, THREE나 DOM 없이도 돌아가도록 분리되어 있어 Node에서 헤드리스로 실행됩니다. 참조해 재생 모듈을 붙이거나 물리 모듈을 Python으로 바꿀 때 이 경계를 유지하십시오.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11. 참고문헌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Yuan et al. (2025). Applied Sciences 15, 6677. 이온흡착형 희토류 사면의 침출 중 침투–안정 해석. 투수계수·강도 저감 계수의 출처.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Wang et al. (2022). Minerals 12, 1500. 시험채굴장 3D 침투–이송 모델. 주입강도 0.0417 m/d, 이온상 품위 범위.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Wu et al. (2023). Adsorption Science &amp; Technology. NMRI 기반 메조스코픽 침출 모사. 우세유로, 컬럼 파과곡선, 경제적 농도 범위.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Cunningham et al. (2025). Scientific Reports 15. 남미 이온흡착형 광상 특성화. Y·중희토의 98 %가 점토·운모에, Ce의 94 %가 모나자이트에 부존.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Nugroho, R. T. (2026). KAUST MSc Thesis. 우라늄 ISL 반응이송 모델과 민감도. 주입률 민감도 계수 음수.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IAEA (2016). Nuclear Energy Series NF-T-1.4. ISL 우라늄 채광 개요. 성립 6조건, 투수계수 경험칙, bleed.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IAEA (1989). TECDOC-492. ISL 우라늄의 기술·환경·경제.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SME (2020). Mining Reference Handbook, 2nd ed., Ch. 19 In Situ Leaching. 정호 간격, 5-spot 유량식.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Haschke et al. (2016). Procedia Engineering. ISR 폐색 기작.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Hatch / Aclara (2026). Carina REE Project NI 43-101 Feasibility Study. Condition A 탈착 시험, 원소별 탈착률.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Boss Energy (2026). Honeymoon Feasibility Study. 광역 간격 5-spot, EKT1 60 m / EKT2 50 m 시험.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Taseko Mines (2023). Florence Copper NI 43-101. PTF 주입 4 · 회수 9 · 관측 7 · 다층 4공, 수리학적 봉쇄 입증.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U.S. NRC (2015, 2026). ISR excursion 정의와 지시항목.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Centre for Information Resilience (2025). Uncovered: Myanmar’s rare earth mining boom. Pang War 위성 분석.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Zhang, L. et al. (2024). Hydrometallurgy 227, 106357. 모의 현장침출 중 공극구조·투수계수 변화.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Zhang, Z. Y. et al. (2016). Hydrometallurgy 164, 248–256. 층별 교환성 희토류·알루미늄 분포와 주입 기술.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ISL Studio 사용 설명서 · 프로토타입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A120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B5652E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algun Gothic" w:cs="Malgun Gothic" w:eastAsia="Malgun Gothic" w:hAnsi="Malgun Gothic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0016baf4785dd9337f18b63ce3651a8cac52bc.png"/><Relationship Id="rId10" Type="http://schemas.openxmlformats.org/officeDocument/2006/relationships/image" Target="media/5c2f3942015865e15c7a06d9a158c4be4bae8aeb.png"/><Relationship Id="rId11" Type="http://schemas.openxmlformats.org/officeDocument/2006/relationships/image" Target="media/86641b9061e5575f299bc628e3fbc8745823c8c7.png"/><Relationship Id="rId12" Type="http://schemas.openxmlformats.org/officeDocument/2006/relationships/image" Target="media/d13deb21cb338f9b3512969fc655af946ffa0040.png"/><Relationship Id="rId13" Type="http://schemas.openxmlformats.org/officeDocument/2006/relationships/image" Target="media/34de797ed19cad8622e4ec5538012ebcaf961fa1.png"/><Relationship Id="rId14" Type="http://schemas.openxmlformats.org/officeDocument/2006/relationships/image" Target="media/adc37ef53c6325d8cba237f5ba383f8816957d8b.png"/><Relationship Id="rId15" Type="http://schemas.openxmlformats.org/officeDocument/2006/relationships/image" Target="media/454caa3c4de78f3e28bcc3cd70a984ede3aa6a1e.png"/><Relationship Id="rId16" Type="http://schemas.openxmlformats.org/officeDocument/2006/relationships/image" Target="media/e8da73181d00e06c51e3c0d8d3a0a6e295b71bf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ISL Studio 사용 설명서</dc:title>
  <dc:creator>ISL Studio</dc:creator>
  <cp:lastModifiedBy>Un-named</cp:lastModifiedBy>
  <cp:revision>1</cp:revision>
  <dcterms:created xsi:type="dcterms:W3CDTF">2026-09-19T01:24:21.223Z</dcterms:created>
  <dcterms:modified xsi:type="dcterms:W3CDTF">2026-09-19T01:24:21.224Z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