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American Association of Cancer Institutes</w:t>
      </w:r>
      <w:r w:rsidDel="00000000" w:rsidR="00000000" w:rsidRPr="00000000">
        <w:rPr>
          <w:rtl w:val="0"/>
        </w:rPr>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Executive Summary</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Partner</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Jaren Love</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Stimmel</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Consulting Team</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Vaishnav Balaji</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p w:rsidR="00000000" w:rsidDel="00000000" w:rsidP="00000000" w:rsidRDefault="00000000" w:rsidRPr="00000000" w14:paraId="0000000B">
      <w:pPr>
        <w:spacing w:line="480" w:lineRule="auto"/>
        <w:jc w:val="center"/>
        <w:rPr>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Background</w:t>
      </w:r>
    </w:p>
    <w:p w:rsidR="00000000" w:rsidDel="00000000" w:rsidP="00000000" w:rsidRDefault="00000000" w:rsidRPr="00000000" w14:paraId="0000000D">
      <w:pPr>
        <w:spacing w:before="120" w:line="240" w:lineRule="auto"/>
        <w:ind w:left="2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Association of American Cancer Institutes (AACI) is composed of 100 leading cancer research centers in North America, including National Cancer Institute-designated centers and academic-based cancer research programs that receive NCI support. AACI currently hosts the Public Policy Resource Library that houses cancer-related resources and policies. AACI looks forward to presenting a more comprehensive public policy library to its members that ultimately engage its readership through a federal legislations tracker to showcase its endorsed federal legislation. </w:t>
      </w:r>
      <w:r w:rsidDel="00000000" w:rsidR="00000000" w:rsidRPr="00000000">
        <w:rPr>
          <w:rtl w:val="0"/>
        </w:rPr>
      </w:r>
    </w:p>
    <w:p w:rsidR="00000000" w:rsidDel="00000000" w:rsidP="00000000" w:rsidRDefault="00000000" w:rsidRPr="00000000" w14:paraId="0000000E">
      <w:pPr>
        <w:pStyle w:val="Heading1"/>
        <w:keepNext w:val="0"/>
        <w:keepLines w:val="0"/>
        <w:spacing w:before="200" w:line="240" w:lineRule="auto"/>
        <w:jc w:val="both"/>
        <w:rPr>
          <w:rFonts w:ascii="Calibri" w:cs="Calibri" w:eastAsia="Calibri" w:hAnsi="Calibri"/>
          <w:b w:val="1"/>
          <w:sz w:val="28"/>
          <w:szCs w:val="28"/>
        </w:rPr>
      </w:pPr>
      <w:bookmarkStart w:colFirst="0" w:colLast="0" w:name="_d1py742hplri" w:id="0"/>
      <w:bookmarkEnd w:id="0"/>
      <w:r w:rsidDel="00000000" w:rsidR="00000000" w:rsidRPr="00000000">
        <w:rPr>
          <w:rFonts w:ascii="Calibri" w:cs="Calibri" w:eastAsia="Calibri" w:hAnsi="Calibri"/>
          <w:b w:val="1"/>
          <w:sz w:val="28"/>
          <w:szCs w:val="28"/>
          <w:rtl w:val="0"/>
        </w:rPr>
        <w:t xml:space="preserve">Project Description</w:t>
      </w:r>
    </w:p>
    <w:p w:rsidR="00000000" w:rsidDel="00000000" w:rsidP="00000000" w:rsidRDefault="00000000" w:rsidRPr="00000000" w14:paraId="0000000F">
      <w:pPr>
        <w:pStyle w:val="Heading2"/>
        <w:keepNext w:val="0"/>
        <w:keepLines w:val="0"/>
        <w:spacing w:after="0" w:before="120" w:line="240" w:lineRule="auto"/>
        <w:ind w:left="280" w:firstLine="0"/>
        <w:jc w:val="both"/>
        <w:rPr>
          <w:rFonts w:ascii="Calibri" w:cs="Calibri" w:eastAsia="Calibri" w:hAnsi="Calibri"/>
          <w:b w:val="1"/>
          <w:sz w:val="24"/>
          <w:szCs w:val="24"/>
        </w:rPr>
      </w:pPr>
      <w:bookmarkStart w:colFirst="0" w:colLast="0" w:name="_v8e0x7i9dp23" w:id="1"/>
      <w:bookmarkEnd w:id="1"/>
      <w:r w:rsidDel="00000000" w:rsidR="00000000" w:rsidRPr="00000000">
        <w:rPr>
          <w:rFonts w:ascii="Calibri" w:cs="Calibri" w:eastAsia="Calibri" w:hAnsi="Calibri"/>
          <w:b w:val="1"/>
          <w:sz w:val="24"/>
          <w:szCs w:val="24"/>
          <w:rtl w:val="0"/>
        </w:rPr>
        <w:t xml:space="preserve">Project Opportunity</w:t>
      </w:r>
    </w:p>
    <w:p w:rsidR="00000000" w:rsidDel="00000000" w:rsidP="00000000" w:rsidRDefault="00000000" w:rsidRPr="00000000" w14:paraId="00000010">
      <w:pPr>
        <w:spacing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ultimately support the AACI’s mission to inform its audience and expand its readership, we would like to add value to AACI’s Public Policy Resource Library that houses limited cancer resources and policies. There are thus plenty of opportunities to expand the library’s current collection that showcases legislation endorsed by AACI at the state level.</w:t>
      </w:r>
      <w:r w:rsidDel="00000000" w:rsidR="00000000" w:rsidRPr="00000000">
        <w:rPr>
          <w:rtl w:val="0"/>
        </w:rPr>
      </w:r>
    </w:p>
    <w:p w:rsidR="00000000" w:rsidDel="00000000" w:rsidP="00000000" w:rsidRDefault="00000000" w:rsidRPr="00000000" w14:paraId="00000011">
      <w:pPr>
        <w:pStyle w:val="Heading2"/>
        <w:keepNext w:val="0"/>
        <w:keepLines w:val="0"/>
        <w:spacing w:after="0" w:before="120" w:line="240" w:lineRule="auto"/>
        <w:ind w:left="280" w:firstLine="0"/>
        <w:jc w:val="both"/>
        <w:rPr>
          <w:rFonts w:ascii="Calibri" w:cs="Calibri" w:eastAsia="Calibri" w:hAnsi="Calibri"/>
          <w:sz w:val="24"/>
          <w:szCs w:val="24"/>
        </w:rPr>
      </w:pPr>
      <w:bookmarkStart w:colFirst="0" w:colLast="0" w:name="_dxt6kjiyl2iw" w:id="2"/>
      <w:bookmarkEnd w:id="2"/>
      <w:r w:rsidDel="00000000" w:rsidR="00000000" w:rsidRPr="00000000">
        <w:rPr>
          <w:rFonts w:ascii="Calibri" w:cs="Calibri" w:eastAsia="Calibri" w:hAnsi="Calibri"/>
          <w:b w:val="1"/>
          <w:sz w:val="24"/>
          <w:szCs w:val="24"/>
          <w:rtl w:val="0"/>
        </w:rPr>
        <w:t xml:space="preserve">Project Vision</w:t>
      </w:r>
      <w:r w:rsidDel="00000000" w:rsidR="00000000" w:rsidRPr="00000000">
        <w:rPr>
          <w:rtl w:val="0"/>
        </w:rPr>
      </w:r>
    </w:p>
    <w:p w:rsidR="00000000" w:rsidDel="00000000" w:rsidP="00000000" w:rsidRDefault="00000000" w:rsidRPr="00000000" w14:paraId="00000012">
      <w:pPr>
        <w:spacing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team’s project goal is to build a page that enables users to track the progress of federal legislation supported by the AACI. In creating this dynamic page, our team is excited to contribute to this project dedicated to showcasing the current and future legislature of cancer policy, increasing reader engagement, and ultimately producing a sustainable solution that delivers upon the AACI’s mission of enhancing the impact of North America’s leading academic cancer centers through information and education.</w:t>
      </w:r>
      <w:r w:rsidDel="00000000" w:rsidR="00000000" w:rsidRPr="00000000">
        <w:rPr>
          <w:rtl w:val="0"/>
        </w:rPr>
      </w:r>
    </w:p>
    <w:p w:rsidR="00000000" w:rsidDel="00000000" w:rsidP="00000000" w:rsidRDefault="00000000" w:rsidRPr="00000000" w14:paraId="00000013">
      <w:pPr>
        <w:pStyle w:val="Heading1"/>
        <w:keepNext w:val="0"/>
        <w:keepLines w:val="0"/>
        <w:spacing w:before="200" w:line="240" w:lineRule="auto"/>
        <w:jc w:val="both"/>
        <w:rPr>
          <w:rFonts w:ascii="Calibri" w:cs="Calibri" w:eastAsia="Calibri" w:hAnsi="Calibri"/>
          <w:b w:val="1"/>
          <w:sz w:val="28"/>
          <w:szCs w:val="28"/>
        </w:rPr>
      </w:pPr>
      <w:bookmarkStart w:colFirst="0" w:colLast="0" w:name="_xb2m55d0sj7n" w:id="3"/>
      <w:bookmarkEnd w:id="3"/>
      <w:r w:rsidDel="00000000" w:rsidR="00000000" w:rsidRPr="00000000">
        <w:rPr>
          <w:rFonts w:ascii="Calibri" w:cs="Calibri" w:eastAsia="Calibri" w:hAnsi="Calibri"/>
          <w:b w:val="1"/>
          <w:sz w:val="28"/>
          <w:szCs w:val="28"/>
          <w:rtl w:val="0"/>
        </w:rPr>
        <w:t xml:space="preserve">Project Outcomes</w:t>
      </w:r>
    </w:p>
    <w:p w:rsidR="00000000" w:rsidDel="00000000" w:rsidP="00000000" w:rsidRDefault="00000000" w:rsidRPr="00000000" w14:paraId="00000014">
      <w:pPr>
        <w:keepLines w:val="0"/>
        <w:widowControl w:val="0"/>
        <w:spacing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10 week project, we mainly aimed to expand the existing Public Policy Resource Library in our client AACI’s website, and  to add a component that informs users of any new updates related to the legislation progress of the bills. We separated our work into two main phrases: Design and Development. In the design phase we conducted background research and communicated with our clients to gather feedback. We ran multiple iterations of website design changes and exchanged ideas that would work best for the organization. In the development phase, we communicated with AACI’s external developer frequently through Basecamp, and made minor adjustments discussed with our clients. After the development was completed, we performed a lighter version of user testing due to the current constraints, and made sure our project is understandable, usable, and aesthetically pleasing. Also, we have various documentations of our progress throughout the entire project for future development.</w:t>
      </w:r>
    </w:p>
    <w:p w:rsidR="00000000" w:rsidDel="00000000" w:rsidP="00000000" w:rsidRDefault="00000000" w:rsidRPr="00000000" w14:paraId="00000015">
      <w:pPr>
        <w:keepLines w:val="0"/>
        <w:widowControl w:val="0"/>
        <w:spacing w:before="200" w:lin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Deliverables</w:t>
      </w:r>
    </w:p>
    <w:p w:rsidR="00000000" w:rsidDel="00000000" w:rsidP="00000000" w:rsidRDefault="00000000" w:rsidRPr="00000000" w14:paraId="00000016">
      <w:pPr>
        <w:spacing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final project deliverables are the design documentation for future reference, mid- and high-fidelity wireframes of the legislation tracker pages for the live web and mobile displays, prototypes of the website design including the Figma links, user testing survey including gathered results, and the project user stories.  </w:t>
      </w:r>
    </w:p>
    <w:p w:rsidR="00000000" w:rsidDel="00000000" w:rsidP="00000000" w:rsidRDefault="00000000" w:rsidRPr="00000000" w14:paraId="00000017">
      <w:pPr>
        <w:spacing w:before="200" w:lin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Recommendations</w:t>
      </w:r>
    </w:p>
    <w:p w:rsidR="00000000" w:rsidDel="00000000" w:rsidP="00000000" w:rsidRDefault="00000000" w:rsidRPr="00000000" w14:paraId="00000018">
      <w:pPr>
        <w:spacing w:before="12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client can sustain the project’s progress by populating the content of the current federal legislation tracker. With the results from user testing, our client will be able to understand the users’ experience with the current design of the website and analyze further what can be improved to provide better experience. We would also like to recommend that our clients internally market the tracker to AACI’s stakeholders by sharing the news of its launch through the main website or newsletters. If the number of endorsed legislations grows large enough, a search function and web crawlers for online news are potential new additions to enhance the capacity of the legislation tracker. A letter-writing tool that we excluded from this project’s scope is a potential project for future student teams.</w:t>
      </w:r>
      <w:r w:rsidDel="00000000" w:rsidR="00000000" w:rsidRPr="00000000">
        <w:rPr>
          <w:rtl w:val="0"/>
        </w:rPr>
      </w:r>
    </w:p>
    <w:p w:rsidR="00000000" w:rsidDel="00000000" w:rsidP="00000000" w:rsidRDefault="00000000" w:rsidRPr="00000000" w14:paraId="00000019">
      <w:pPr>
        <w:spacing w:before="120" w:lin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 Consulting Team</w:t>
      </w:r>
    </w:p>
    <w:p w:rsidR="00000000" w:rsidDel="00000000" w:rsidP="00000000" w:rsidRDefault="00000000" w:rsidRPr="00000000" w14:paraId="0000001B">
      <w:pPr>
        <w:spacing w:before="120" w:line="240" w:lineRule="auto"/>
        <w:ind w:left="2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Vaishnav Balaji </w:t>
      </w:r>
      <w:r w:rsidDel="00000000" w:rsidR="00000000" w:rsidRPr="00000000">
        <w:rPr>
          <w:rFonts w:ascii="Cambria" w:cs="Cambria" w:eastAsia="Cambria" w:hAnsi="Cambria"/>
          <w:sz w:val="24"/>
          <w:szCs w:val="24"/>
          <w:rtl w:val="0"/>
        </w:rPr>
        <w:t xml:space="preserve">served as the quality assurance manager and developer of the project. He is a third-year student majoring in Information Systems with a focus on Computer Science. He is interested in a career in software engineering or product management.</w:t>
      </w:r>
      <w:r w:rsidDel="00000000" w:rsidR="00000000" w:rsidRPr="00000000">
        <w:rPr>
          <w:rtl w:val="0"/>
        </w:rPr>
      </w:r>
    </w:p>
    <w:p w:rsidR="00000000" w:rsidDel="00000000" w:rsidP="00000000" w:rsidRDefault="00000000" w:rsidRPr="00000000" w14:paraId="0000001C">
      <w:pPr>
        <w:spacing w:before="120" w:line="240" w:lineRule="auto"/>
        <w:ind w:left="28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Mark He </w:t>
      </w:r>
      <w:r w:rsidDel="00000000" w:rsidR="00000000" w:rsidRPr="00000000">
        <w:rPr>
          <w:rFonts w:ascii="Cambria" w:cs="Cambria" w:eastAsia="Cambria" w:hAnsi="Cambria"/>
          <w:sz w:val="24"/>
          <w:szCs w:val="24"/>
          <w:rtl w:val="0"/>
        </w:rPr>
        <w:t xml:space="preserve">served as the client relationship manager and designer of the project. He is a junior student majoring in Information with a double in Human Computer Interaction. He will be conducting research this summer and seeking graduate school in HCI institutions.</w:t>
      </w:r>
    </w:p>
    <w:p w:rsidR="00000000" w:rsidDel="00000000" w:rsidP="00000000" w:rsidRDefault="00000000" w:rsidRPr="00000000" w14:paraId="0000001D">
      <w:pPr>
        <w:spacing w:before="120" w:line="240" w:lineRule="auto"/>
        <w:ind w:left="28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Lena Li </w:t>
      </w:r>
      <w:r w:rsidDel="00000000" w:rsidR="00000000" w:rsidRPr="00000000">
        <w:rPr>
          <w:rFonts w:ascii="Cambria" w:cs="Cambria" w:eastAsia="Cambria" w:hAnsi="Cambria"/>
          <w:sz w:val="24"/>
          <w:szCs w:val="24"/>
          <w:rtl w:val="0"/>
        </w:rPr>
        <w:t xml:space="preserve">served as the project manager and designer of the project. She led discussions during client meetings by presenting ideas and gathering feedback. She is a third-year student majoring in Information Systems with a double major in Human-Computer Interaction. She will intern as a Program Manager at Microsoft.</w:t>
      </w:r>
    </w:p>
    <w:p w:rsidR="00000000" w:rsidDel="00000000" w:rsidP="00000000" w:rsidRDefault="00000000" w:rsidRPr="00000000" w14:paraId="0000001E">
      <w:pPr>
        <w:spacing w:before="120" w:line="240" w:lineRule="auto"/>
        <w:ind w:left="2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Cindy Su </w:t>
      </w:r>
      <w:r w:rsidDel="00000000" w:rsidR="00000000" w:rsidRPr="00000000">
        <w:rPr>
          <w:rFonts w:ascii="Cambria" w:cs="Cambria" w:eastAsia="Cambria" w:hAnsi="Cambria"/>
          <w:sz w:val="24"/>
          <w:szCs w:val="24"/>
          <w:rtl w:val="0"/>
        </w:rPr>
        <w:t xml:space="preserve">served as the client transition manager and developer of the project. She is a third-year student majoring in Information Systems with a minor in Computer Science. She will intern at McKinsey &amp; Co. and look towards a career in technology consulting</w:t>
      </w:r>
      <w:r w:rsidDel="00000000" w:rsidR="00000000" w:rsidRPr="00000000">
        <w:rPr>
          <w:rFonts w:ascii="Cambria" w:cs="Cambria" w:eastAsia="Cambria" w:hAnsi="Cambria"/>
          <w:b w:val="1"/>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