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Lymphedema Treatment Act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Pending Bill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bill includes certain lymphedema compression treatment items as covered durable medical equipment under Medicare. (Lymphedema is a condition of localized fluid retention and tissue swelling that is caused when the lymphatic system is damaged or blocked.)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5910"/>
        <w:gridCol w:w="1875"/>
        <w:tblGridChange w:id="0">
          <w:tblGrid>
            <w:gridCol w:w="1590"/>
            <w:gridCol w:w="5910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Feb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It is unclear whether the Senate will take up the H.R. 3 Elijah E. Cummings Lower Drug Costs Now Act that includes the Lymphedema Treatment provisions.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Dec. 12,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Passed/agreed to in House: On passage Passed by the Yeas and Nays: 230 - 192 (Roll no. 682).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The House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Dec. 10,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The Association of American Cancer Institutes (AACI) officially signs onto the </w:t>
            </w:r>
            <w:r w:rsidDel="00000000" w:rsidR="00000000" w:rsidRPr="00000000">
              <w:rPr>
                <w:color w:val="0000ff"/>
                <w:rtl w:val="0"/>
              </w:rPr>
              <w:t xml:space="preserve">Lymphedema Advocacy Group's letter</w:t>
            </w:r>
            <w:r w:rsidDel="00000000" w:rsidR="00000000" w:rsidRPr="00000000">
              <w:rPr>
                <w:rtl w:val="0"/>
              </w:rPr>
              <w:t xml:space="preserve"> in support of HR 1948/S 518 Lymphedema Treatment 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Dec. 09,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Reported (Amended) by the Committee on Education and Labor. H. Rept. 116-324, Part III.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Dec. 06,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Reported (Amended) by the Committee on Ways and Means. H. Rept. 116-324, Part II.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Sept.19,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Introduced in the 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Feb. 14,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Introduced in the Senate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INTRODUCED</w:t>
            </w:r>
          </w:p>
        </w:tc>
      </w:tr>
    </w:tbl>
    <w:p w:rsidR="00000000" w:rsidDel="00000000" w:rsidP="00000000" w:rsidRDefault="00000000" w:rsidRPr="00000000" w14:paraId="0000002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Link to the letter: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color w:val="0000ff"/>
          <w:rtl w:val="0"/>
        </w:rPr>
        <w:t xml:space="preserve">https://drive.google.com/file/d/11NSSnxBDWVD0Uw_PlIF5QCljdOEnv4Mk/view?usp=sharing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QUICK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Introduced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Feb 14, 2019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Sponsor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Senator Maria Cantwell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House - Energy and Commerce; Ways and Means; Education and Labor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cosponsors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106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Cancer Drug Parity Act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Pending Bill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This bill requires health plans that cover anticancer medications administered by a health care provider to provide no less favorable cost sharing for patient-administered anticancer medications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1.3953488372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1.3953488372094"/>
        <w:gridCol w:w="6795"/>
        <w:gridCol w:w="1875"/>
        <w:tblGridChange w:id="0">
          <w:tblGrid>
            <w:gridCol w:w="701.3953488372094"/>
            <w:gridCol w:w="679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Dec. 17,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The Association of American Cancer Institutes (AACI) officially signs onto a</w:t>
            </w:r>
            <w:r w:rsidDel="00000000" w:rsidR="00000000" w:rsidRPr="00000000">
              <w:rPr>
                <w:color w:val="0000ff"/>
                <w:rtl w:val="0"/>
              </w:rPr>
              <w:t xml:space="preserve"> letter</w:t>
            </w:r>
            <w:r w:rsidDel="00000000" w:rsidR="00000000" w:rsidRPr="00000000">
              <w:rPr>
                <w:rtl w:val="0"/>
              </w:rPr>
              <w:t xml:space="preserve"> in support of </w:t>
            </w:r>
            <w:r w:rsidDel="00000000" w:rsidR="00000000" w:rsidRPr="00000000">
              <w:rPr>
                <w:color w:val="1d1c1d"/>
                <w:highlight w:val="white"/>
                <w:rtl w:val="0"/>
              </w:rPr>
              <w:t xml:space="preserve">H.R. 1730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color w:val="1d1c1d"/>
                <w:highlight w:val="white"/>
                <w:rtl w:val="0"/>
              </w:rPr>
              <w:t xml:space="preserve">S. 741</w:t>
            </w:r>
            <w:r w:rsidDel="00000000" w:rsidR="00000000" w:rsidRPr="00000000">
              <w:rPr>
                <w:rtl w:val="0"/>
              </w:rPr>
              <w:t xml:space="preserve"> Cancer Drug Parity 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Mar. 13,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Introduced in the 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Mar. 12,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Introduced in the Senate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INTRODUCED</w:t>
            </w:r>
          </w:p>
        </w:tc>
      </w:tr>
    </w:tbl>
    <w:p w:rsidR="00000000" w:rsidDel="00000000" w:rsidP="00000000" w:rsidRDefault="00000000" w:rsidRPr="00000000" w14:paraId="0000004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Link to the letter:</w:t>
      </w:r>
    </w:p>
    <w:p w:rsidR="00000000" w:rsidDel="00000000" w:rsidP="00000000" w:rsidRDefault="00000000" w:rsidRPr="00000000" w14:paraId="00000042">
      <w:pPr>
        <w:rPr>
          <w:color w:val="0000ff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https://www.access2cancercare.org/letter-to-representatives-degette-and-upton/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QUICK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Introduced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Mar. 12, 2019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Sponsor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Sen. Smith, Tina [D-MN]</w:t>
      </w:r>
      <w:r w:rsidDel="00000000" w:rsidR="00000000" w:rsidRPr="00000000">
        <w:rPr>
          <w:rtl w:val="0"/>
        </w:rPr>
        <w:t xml:space="preserve">, Rep. Higgins, Brian [D-NY-26]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Senate Health, Education, Labor, and Pensions; House - Energy and Commerce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cosponsors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17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CLINICAL TREATMENT 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Pending Bill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This bill requires state Medicaid programs to cover routine patient costs for items and services that are provided in connection with a qualifying clinical trial regarding cancer or other life-threatening conditions.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71.3953488372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1.3953488372094"/>
        <w:gridCol w:w="6795"/>
        <w:gridCol w:w="1875"/>
        <w:tblGridChange w:id="0">
          <w:tblGrid>
            <w:gridCol w:w="701.3953488372094"/>
            <w:gridCol w:w="679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Feb 21,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color w:val="1d1c1d"/>
                <w:sz w:val="23"/>
                <w:szCs w:val="23"/>
                <w:highlight w:val="white"/>
                <w:rtl w:val="0"/>
              </w:rPr>
              <w:t xml:space="preserve">The Cancer Letter publishes an article talking about the efforts of a coalition of over 100 cancer groups, including AACI, urging Congress to include the CLINICAL TREATMENT Act in an upcoming health care extenders package. </w:t>
            </w:r>
            <w:hyperlink r:id="rId7">
              <w:r w:rsidDel="00000000" w:rsidR="00000000" w:rsidRPr="00000000">
                <w:rPr>
                  <w:i w:val="1"/>
                  <w:color w:val="1155cc"/>
                  <w:sz w:val="23"/>
                  <w:szCs w:val="23"/>
                  <w:highlight w:val="white"/>
                  <w:rtl w:val="0"/>
                </w:rPr>
                <w:t xml:space="preserve">The Cancer Letter, 2/21/2020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Feb. 15,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AACI is featured on </w:t>
            </w:r>
            <w:r w:rsidDel="00000000" w:rsidR="00000000" w:rsidRPr="00000000">
              <w:rPr>
                <w:color w:val="3c78d8"/>
                <w:rtl w:val="0"/>
              </w:rPr>
              <w:t xml:space="preserve">a community endorsement letter</w:t>
            </w:r>
            <w:r w:rsidDel="00000000" w:rsidR="00000000" w:rsidRPr="00000000">
              <w:rPr>
                <w:rtl w:val="0"/>
              </w:rPr>
              <w:t xml:space="preserve">, spearheaded by the Association for Clinical Oncology (ASCO), in support of H.R. 913, the CLINICAL TREATMENT Act.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Jan.30,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Introduced in 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INTRODUCED</w:t>
            </w:r>
          </w:p>
        </w:tc>
      </w:tr>
    </w:tbl>
    <w:p w:rsidR="00000000" w:rsidDel="00000000" w:rsidP="00000000" w:rsidRDefault="00000000" w:rsidRPr="00000000" w14:paraId="0000006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Cancer Letter:</w:t>
      </w:r>
    </w:p>
    <w:p w:rsidR="00000000" w:rsidDel="00000000" w:rsidP="00000000" w:rsidRDefault="00000000" w:rsidRPr="00000000" w14:paraId="00000062">
      <w:pPr>
        <w:rPr>
          <w:color w:val="0000ff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https://cancerletter.com/articles/20200221_4/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 community endorsement letter:</w:t>
      </w:r>
    </w:p>
    <w:p w:rsidR="00000000" w:rsidDel="00000000" w:rsidP="00000000" w:rsidRDefault="00000000" w:rsidRPr="00000000" w14:paraId="00000065">
      <w:pPr>
        <w:rPr>
          <w:color w:val="0000ff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https://www.asco.org/sites/new-www.asco.org/files/content-files/blog-release/pdf/2019-clinical-treatment-act-community-support-letter.pdf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QUICK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Introduced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Mar. 12, 2019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Sponsor</w:t>
      </w:r>
    </w:p>
    <w:p w:rsidR="00000000" w:rsidDel="00000000" w:rsidP="00000000" w:rsidRDefault="00000000" w:rsidRPr="00000000" w14:paraId="0000006B">
      <w:pPr>
        <w:rPr>
          <w:color w:val="3366cc"/>
        </w:rPr>
      </w:pPr>
      <w:r w:rsidDel="00000000" w:rsidR="00000000" w:rsidRPr="00000000">
        <w:rPr>
          <w:color w:val="3366cc"/>
          <w:rtl w:val="0"/>
        </w:rPr>
        <w:t xml:space="preserve">Representative Ben Ray Lujan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(Clickable 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https://www.congress.gov/member/ben-lujan/L000570?searchResultViewType=expanded&amp;KWICView=false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House - Energy and Commerce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cosponsors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ongress.gov/member/ben-lujan/L000570?searchResultViewType=expanded&amp;KWICView=false" TargetMode="External"/><Relationship Id="rId9" Type="http://schemas.openxmlformats.org/officeDocument/2006/relationships/hyperlink" Target="https://www.asco.org/sites/new-www.asco.org/files/content-files/blog-release/pdf/2019-clinical-treatment-act-community-support-letter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ccess2cancercare.org/letter-to-representatives-degette-and-upton/" TargetMode="External"/><Relationship Id="rId7" Type="http://schemas.openxmlformats.org/officeDocument/2006/relationships/hyperlink" Target="https://cancerletter.com/articles/20200221_4/" TargetMode="External"/><Relationship Id="rId8" Type="http://schemas.openxmlformats.org/officeDocument/2006/relationships/hyperlink" Target="https://cancerletter.com/articles/20200221_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