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ptos" w:hAnsi="Aptos"/>
          <w:b/>
          <w:color w:val="0B2545"/>
          <w:sz w:val="41"/>
        </w:rPr>
        <w:t>BrassIA</w:t>
      </w:r>
    </w:p>
    <w:p>
      <w:pPr>
        <w:spacing w:before="0" w:after="100"/>
      </w:pPr>
      <w:r>
        <w:rPr>
          <w:rFonts w:ascii="Aptos" w:hAnsi="Aptos"/>
          <w:b/>
          <w:color w:val="0B6E69"/>
          <w:sz w:val="18"/>
        </w:rPr>
        <w:t>Blueprint técnico consolidado  |  arquitetura, domínio e execução   v2.0 · 17 jul 2026</w:t>
      </w:r>
      <w:r>
        <w:rPr>
          <w:rFonts w:ascii="Aptos" w:hAnsi="Aptos"/>
          <w:color w:val="5D6975"/>
          <w:sz w:val="16"/>
        </w:rPr>
      </w:r>
    </w:p>
    <w:p>
      <w:pPr>
        <w:spacing w:before="0" w:after="80" w:line="259" w:lineRule="auto"/>
      </w:pPr>
      <w:r>
        <w:rPr>
          <w:rFonts w:ascii="Aptos" w:hAnsi="Aptos"/>
          <w:b w:val="0"/>
          <w:color w:val="202B36"/>
          <w:sz w:val="17"/>
        </w:rPr>
        <w:t>Documento de decisão da BrassIA para desenvolver uma plataforma que planeja receitas, acompanha brassagens em tempo real, rastreia lotes e usa IA como assistente explicável. O desenho atende uma operação artesanal (incluindo perfil de equipamento SB40/50 L) e permite evoluir para múltiplas cervejarias.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2F7F6"/>
          <w:left w:val="single" w:sz="0" w:space="0" w:color="F2F7F6"/>
          <w:bottom w:val="single" w:sz="0" w:space="0" w:color="F2F7F6"/>
          <w:right w:val="single" w:sz="0" w:space="0" w:color="F2F7F6"/>
          <w:insideH w:val="single" w:sz="0" w:space="0" w:color="F2F7F6"/>
          <w:insideV w:val="single" w:sz="0" w:space="0" w:color="F2F7F6"/>
        </w:tblBorders>
      </w:tblPr>
      <w:tblGrid>
        <w:gridCol w:w="158"/>
        <w:gridCol w:w="10310"/>
      </w:tblGrid>
      <w:tr>
        <w:tc>
          <w:tcPr>
            <w:tcW w:type="dxa" w:w="158"/>
            <w:tcMar>
              <w:top w:w="45" w:type="dxa"/>
              <w:start w:w="0" w:type="dxa"/>
              <w:bottom w:w="45" w:type="dxa"/>
              <w:end w:w="0" w:type="dxa"/>
            </w:tcMar>
            <w:vAlign w:val="center"/>
            <w:shd w:fill="0B6E69"/>
          </w:tcPr>
          <w:p/>
        </w:tc>
        <w:tc>
          <w:tcPr>
            <w:tcW w:type="dxa" w:w="103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B2545"/>
                <w:sz w:val="16"/>
              </w:rPr>
              <w:t xml:space="preserve">Decisão arquitetural — </w:t>
            </w:r>
            <w:r>
              <w:rPr>
                <w:rFonts w:ascii="Aptos" w:hAnsi="Aptos"/>
                <w:b w:val="0"/>
                <w:color w:val="202B36"/>
                <w:sz w:val="16"/>
              </w:rPr>
              <w:t>começar com monólito modular e arquitetura hexagonal por módulo. É a melhor relação entre velocidade para um desenvolvedor, testabilidade e possibilidade de extrair serviços apenas quando carga ou equipe justificarem.</w:t>
            </w:r>
          </w:p>
        </w:tc>
      </w:tr>
    </w:tbl>
    <w:p>
      <w:pPr>
        <w:spacing w:after="0" w:before="0" w:line="48" w:lineRule="auto"/>
      </w:pPr>
    </w:p>
    <w:p>
      <w:pPr>
        <w:keepNext/>
        <w:spacing w:before="100" w:after="60"/>
      </w:pPr>
      <w:r>
        <w:rPr>
          <w:rFonts w:ascii="Aptos" w:hAnsi="Aptos"/>
          <w:b/>
          <w:color w:val="D99A2B"/>
          <w:sz w:val="14"/>
        </w:rPr>
        <w:t xml:space="preserve">01  </w:t>
      </w:r>
      <w:r>
        <w:rPr>
          <w:rFonts w:ascii="Aptos" w:hAnsi="Aptos"/>
          <w:b/>
          <w:color w:val="0B2545"/>
          <w:sz w:val="24"/>
        </w:rPr>
        <w:t>Arquitetura-alvo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1828"/>
        <w:gridCol w:w="4651"/>
        <w:gridCol w:w="3988"/>
      </w:tblGrid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Canais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Web responsiva / PWA Angular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Operador de produção · Admin · Consulta</w:t>
            </w:r>
          </w:p>
        </w:tc>
      </w:tr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Entrada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REST JSON + OpenAPI · WebSocket/SSE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Autenticação OIDC/JWT · rate limit</w:t>
            </w:r>
          </w:p>
        </w:tc>
      </w:tr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Aplicação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Casos de uso · DTOs · validação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Transações · políticas · eventos internos</w:t>
            </w:r>
          </w:p>
        </w:tc>
      </w:tr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Domínio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Agregados por módulo · regras puras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Receita · Brassagem · Lote · Estoque</w:t>
            </w:r>
          </w:p>
        </w:tc>
      </w:tr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Adaptadores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JPA/PostgreSQL · arquivos S3/MinIO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E-mail/webhook · provedores de IA</w:t>
            </w:r>
          </w:p>
        </w:tc>
      </w:tr>
      <w:tr>
        <w:tc>
          <w:tcPr>
            <w:tcW w:type="dxa" w:w="18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Operação</w:t>
            </w:r>
          </w:p>
        </w:tc>
        <w:tc>
          <w:tcPr>
            <w:tcW w:type="dxa" w:w="46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Docker Compose · proxy reverso · CI/CD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5"/>
              </w:rPr>
              <w:t>Logs estruturados · métricas · backup</w:t>
            </w:r>
          </w:p>
        </w:tc>
      </w:tr>
    </w:tbl>
    <w:p>
      <w:pPr>
        <w:keepNext/>
        <w:spacing w:before="100" w:after="60"/>
      </w:pPr>
      <w:r>
        <w:rPr>
          <w:rFonts w:ascii="Aptos" w:hAnsi="Aptos"/>
          <w:b/>
          <w:color w:val="D99A2B"/>
          <w:sz w:val="14"/>
        </w:rPr>
        <w:t xml:space="preserve">02  </w:t>
      </w:r>
      <w:r>
        <w:rPr>
          <w:rFonts w:ascii="Aptos" w:hAnsi="Aptos"/>
          <w:b/>
          <w:color w:val="0B2545"/>
          <w:sz w:val="24"/>
        </w:rPr>
        <w:t>Mapa de módulos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2160"/>
        <w:gridCol w:w="4176"/>
        <w:gridCol w:w="4132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CONTEXTO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MÓDULOS</w:t>
            </w:r>
          </w:p>
        </w:tc>
        <w:tc>
          <w:tcPr>
            <w:tcW w:type="dxa" w:w="41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FRONTEIRA DE RESPONSABILIDADE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Planejamento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Receitas · Estilos · Ingredientes · Equipamentos</w:t>
            </w:r>
          </w:p>
        </w:tc>
        <w:tc>
          <w:tcPr>
            <w:tcW w:type="dxa" w:w="41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Versiona fórmulas, escala volumes, calcula metas e gera a ficha planejada.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Execução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Ordens de produção · Mostura · Fervura · Fermentação · Envase</w:t>
            </w:r>
          </w:p>
        </w:tc>
        <w:tc>
          <w:tcPr>
            <w:tcW w:type="dxa" w:w="41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Registra medições, cronômetros, desvios, correções e consumo real por etapa.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Suprimentos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Catálogo · Fornecedores · Compras · Estoque · Lotes</w:t>
            </w:r>
          </w:p>
        </w:tc>
        <w:tc>
          <w:tcPr>
            <w:tcW w:type="dxa" w:w="41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Rastreia validade, reservas, perdas, custo e origem até cada lote produzido.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Plataforma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Qualidade · Relatórios · Usuários · Notificações · IA</w:t>
            </w:r>
          </w:p>
        </w:tc>
        <w:tc>
          <w:tcPr>
            <w:tcW w:type="dxa" w:w="41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Centraliza auditoria, permissões, documentos, indicadores e assistência contextual.</w:t>
            </w:r>
          </w:p>
        </w:tc>
      </w:tr>
    </w:tbl>
    <w:p>
      <w:pPr>
        <w:keepNext/>
        <w:spacing w:before="100" w:after="60"/>
      </w:pPr>
      <w:r>
        <w:rPr>
          <w:rFonts w:ascii="Aptos" w:hAnsi="Aptos"/>
          <w:b/>
          <w:color w:val="D99A2B"/>
          <w:sz w:val="14"/>
        </w:rPr>
        <w:t xml:space="preserve">03  </w:t>
      </w:r>
      <w:r>
        <w:rPr>
          <w:rFonts w:ascii="Aptos" w:hAnsi="Aptos"/>
          <w:b/>
          <w:color w:val="0B2545"/>
          <w:sz w:val="24"/>
        </w:rPr>
        <w:t>Stack recomendada e limites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2620"/>
        <w:gridCol w:w="2620"/>
        <w:gridCol w:w="2620"/>
        <w:gridCol w:w="2606"/>
      </w:tblGrid>
      <w:tr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FRONTEND</w:t>
            </w:r>
          </w:p>
        </w:tc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DADOS</w:t>
            </w:r>
          </w:p>
        </w:tc>
        <w:tc>
          <w:tcPr>
            <w:tcW w:type="dxa" w:w="26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ENTREGA</w:t>
            </w:r>
          </w:p>
        </w:tc>
      </w:tr>
      <w:tr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 w:val="0"/>
                <w:color w:val="202B36"/>
                <w:sz w:val="14"/>
              </w:rPr>
              <w:t>Angular standalone · PWA · biblioteca visual única</w:t>
            </w:r>
          </w:p>
        </w:tc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 w:val="0"/>
                <w:color w:val="202B36"/>
                <w:sz w:val="14"/>
              </w:rPr>
              <w:t>Java 21 LTS · Spring Boot 3.x · Flyway · OpenAPI</w:t>
            </w:r>
          </w:p>
        </w:tc>
        <w:tc>
          <w:tcPr>
            <w:tcW w:type="dxa" w:w="2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 w:val="0"/>
                <w:color w:val="202B36"/>
                <w:sz w:val="14"/>
              </w:rPr>
              <w:t>PostgreSQL · Redis opcional · S3/MinIO para anexos</w:t>
            </w:r>
          </w:p>
        </w:tc>
        <w:tc>
          <w:tcPr>
            <w:tcW w:type="dxa" w:w="26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/>
                <w:b w:val="0"/>
                <w:color w:val="202B36"/>
                <w:sz w:val="14"/>
              </w:rPr>
              <w:t>Docker · CI com testes · ambientes dev/homolog/prod</w:t>
            </w:r>
          </w:p>
        </w:tc>
      </w:tr>
    </w:tbl>
    <w:p>
      <w:pPr>
        <w:spacing w:before="0" w:after="0" w:line="259" w:lineRule="auto"/>
      </w:pPr>
      <w:r>
        <w:rPr>
          <w:rFonts w:ascii="Aptos" w:hAnsi="Aptos"/>
          <w:b w:val="0"/>
          <w:color w:val="5D6975"/>
          <w:sz w:val="15"/>
        </w:rPr>
        <w:t>Princípios: banco único com schemas lógicos; IDs UUID; datas em UTC e exibição no fuso da cervejaria; quantidades persistidas com valor + unidade; multi-tenancy preparado por brewery_id; nenhuma dependência entre módulos acessa tabela alheia diretamente.</w:t>
      </w:r>
    </w:p>
    <w:p>
      <w:r>
        <w:br w:type="page"/>
      </w:r>
    </w:p>
    <w:p>
      <w:pPr>
        <w:keepNext/>
        <w:spacing w:before="100" w:after="60"/>
      </w:pPr>
      <w:r>
        <w:rPr>
          <w:rFonts w:ascii="Aptos" w:hAnsi="Aptos"/>
          <w:b/>
          <w:color w:val="D99A2B"/>
          <w:sz w:val="14"/>
        </w:rPr>
        <w:t xml:space="preserve">04  </w:t>
      </w:r>
      <w:r>
        <w:rPr>
          <w:rFonts w:ascii="Aptos" w:hAnsi="Aptos"/>
          <w:b/>
          <w:color w:val="0B2545"/>
          <w:sz w:val="24"/>
        </w:rPr>
        <w:t>Domínio operacional e regras de negócio</w:t>
      </w:r>
    </w:p>
    <w:p>
      <w:pPr>
        <w:spacing w:before="0" w:after="60" w:line="259" w:lineRule="auto"/>
      </w:pPr>
      <w:r>
        <w:rPr>
          <w:rFonts w:ascii="Aptos" w:hAnsi="Aptos"/>
          <w:b w:val="0"/>
          <w:color w:val="202B36"/>
          <w:sz w:val="17"/>
        </w:rPr>
        <w:t>O plano é uma intenção; o lote executado é evidência. Por isso, receita, ordem de produção, medições e estoque mantêm históricos separados e rastreáveis.</w:t>
      </w:r>
    </w:p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Fluxo de produção controlado por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1728"/>
        <w:gridCol w:w="2332"/>
        <w:gridCol w:w="3311"/>
        <w:gridCol w:w="3096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ENTRADAS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CONTROLES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SAÍDA / REGRA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1. Planejar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Receita + equipamento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Volume, eficiência, OG/FG, IBU, cor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Congela versão da receita ao liberar a OP.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2. Água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Fonte + perfil alvo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pH, alcalinidade, Ca/Mg/Na/Cl/SO₄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Simula sais/ácido; exige confirmação do operador.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3. Mostura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Maltes + água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Patamares, temperatura, pH, densidade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Cronômetros e alertas; desvio nunca apaga o plano.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4. Fervura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Mosto pré-fervura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Volume, densidade, tempo, adições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Recalcula concentração, IBU e correções possíveis.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5. Fermentar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Mosto + levedura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OG, temperatura, pressão, FG, atenuação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Finalizar somente com critério configurável de estabilidade.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6. Envasar</w:t>
            </w:r>
          </w:p>
        </w:tc>
        <w:tc>
          <w:tcPr>
            <w:tcW w:type="dxa" w:w="23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Cerveja maturada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Volume, carbonatação, perdas, embalagem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Baixa insumos; cria unidades/lote e custo realizado.</w:t>
            </w:r>
          </w:p>
        </w:tc>
      </w:tr>
    </w:tbl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Regras invariantes — núcleo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5212"/>
        <w:gridCol w:w="5256"/>
      </w:tblGrid>
      <w:tr>
        <w:tc>
          <w:tcPr>
            <w:tcW w:type="dxa" w:w="52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RECEITA E CÁLCULOS</w:t>
              <w:br/>
            </w:r>
            <w:r>
              <w:rPr>
                <w:rFonts w:ascii="Aptos" w:hAnsi="Aptos"/>
                <w:b w:val="0"/>
                <w:color w:val="202B36"/>
                <w:sz w:val="15"/>
              </w:rPr>
              <w:t>Receita publicada é imutável: alteração cria nova versão. Escala considera volume final, perdas e eficiência do perfil de equipamento. Fórmulas registram método e versão. ABV padrão = (OG − FG) × 131,25; atenuação aparente = (OG − FG)/(OG − 1) × 100.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ORDEM E MEDIÇÕES</w:t>
              <w:br/>
            </w:r>
            <w:r>
              <w:rPr>
                <w:rFonts w:ascii="Aptos" w:hAnsi="Aptos"/>
                <w:b w:val="0"/>
                <w:color w:val="202B36"/>
                <w:sz w:val="15"/>
              </w:rPr>
              <w:t>OP segue transições válidas: RASCUNHO → LIBERADA → EM_PRODUÇÃO → FERMENTANDO → MATURANDO → ENVASADA → ENCERRADA/CANCELADA. Toda medição guarda valor, unidade, temperatura, instante, método, origem e operador.</w:t>
            </w:r>
          </w:p>
        </w:tc>
      </w:tr>
      <w:tr>
        <w:tc>
          <w:tcPr>
            <w:tcW w:type="dxa" w:w="52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ESTOQUE E RASTREIO</w:t>
              <w:br/>
            </w:r>
            <w:r>
              <w:rPr>
                <w:rFonts w:ascii="Aptos" w:hAnsi="Aptos"/>
                <w:b w:val="0"/>
                <w:color w:val="202B36"/>
                <w:sz w:val="15"/>
              </w:rPr>
              <w:t>Saldo deriva de movimentos imutáveis: entrada, reserva, consumo, ajuste, perda e devolução. Consumo referencia lote do insumo e OP. Seleção padrão FEFO; saldo negativo e consumo vencido dependem de permissão + justificativa.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5"/>
              </w:rPr>
              <w:t>AUDITORIA E FECHAMENTO</w:t>
              <w:br/>
            </w:r>
            <w:r>
              <w:rPr>
                <w:rFonts w:ascii="Aptos" w:hAnsi="Aptos"/>
                <w:b w:val="0"/>
                <w:color w:val="202B36"/>
                <w:sz w:val="15"/>
              </w:rPr>
              <w:t>Lote encerrado vira snapshot técnico e financeiro. Reabertura exige perfil autorizado, motivo e evento de auditoria. Exclusão funcional é lógica; registros produtivos e movimentos nunca sofrem hard delete pela aplicação.</w:t>
            </w:r>
          </w:p>
        </w:tc>
      </w:tr>
    </w:tbl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Assistente de correção durante a brassagem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2419"/>
        <w:gridCol w:w="4636"/>
        <w:gridCol w:w="3412"/>
      </w:tblGrid>
      <w:tr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46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CÁLCULO / RECOMENDAÇÃO</w:t>
            </w:r>
          </w:p>
        </w:tc>
        <w:tc>
          <w:tcPr>
            <w:tcW w:type="dxa" w:w="34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TRAVA DE SEGURANÇA</w:t>
            </w:r>
          </w:p>
        </w:tc>
      </w:tr>
      <w:tr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OG acima/abaixo</w:t>
            </w:r>
          </w:p>
        </w:tc>
        <w:tc>
          <w:tcPr>
            <w:tcW w:type="dxa" w:w="46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Diluição por pontos: V₂ = V₁ × P₁/P₂; concentração usa potencial real do fermentável.</w:t>
            </w:r>
          </w:p>
        </w:tc>
        <w:tc>
          <w:tcPr>
            <w:tcW w:type="dxa" w:w="34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Mostra impacto em volume, IBU e cor; operador confirma.</w:t>
            </w:r>
          </w:p>
        </w:tc>
      </w:tr>
      <w:tr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Volume/fervura</w:t>
            </w:r>
          </w:p>
        </w:tc>
        <w:tc>
          <w:tcPr>
            <w:tcW w:type="dxa" w:w="46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Reestima evaporação, perdas e densidade por balanço de massa.</w:t>
            </w:r>
          </w:p>
        </w:tc>
        <w:tc>
          <w:tcPr>
            <w:tcW w:type="dxa" w:w="34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Nunca sugere ultrapassar capacidade útil configurada.</w:t>
            </w:r>
          </w:p>
        </w:tc>
      </w:tr>
      <w:tr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pH e sais</w:t>
            </w:r>
          </w:p>
        </w:tc>
        <w:tc>
          <w:tcPr>
            <w:tcW w:type="dxa" w:w="46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Recalcula íons por matriz de contribuição e água medida; registra dose incremental.</w:t>
            </w:r>
          </w:p>
        </w:tc>
        <w:tc>
          <w:tcPr>
            <w:tcW w:type="dxa" w:w="34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Limites por cervejaria/estilo; sem dosagem automática.</w:t>
            </w:r>
          </w:p>
        </w:tc>
      </w:tr>
      <w:tr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FG fora da meta</w:t>
            </w:r>
          </w:p>
        </w:tc>
        <w:tc>
          <w:tcPr>
            <w:tcW w:type="dxa" w:w="46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Cruza curva de densidade/temperatura, levedura, atenuação e histórico.</w:t>
            </w:r>
          </w:p>
        </w:tc>
        <w:tc>
          <w:tcPr>
            <w:tcW w:type="dxa" w:w="34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Diagnóstico em hipóteses; não recomenda intervenção sem evidência.</w:t>
            </w:r>
          </w:p>
        </w:tc>
      </w:tr>
    </w:tbl>
    <w:p>
      <w:pPr>
        <w:spacing w:before="0" w:after="0" w:line="259" w:lineRule="auto"/>
      </w:pPr>
      <w:r>
        <w:rPr>
          <w:rFonts w:ascii="Aptos" w:hAnsi="Aptos"/>
          <w:b w:val="0"/>
          <w:color w:val="5D6975"/>
          <w:sz w:val="15"/>
        </w:rPr>
        <w:t>Entidades principais: Brewery, User, EquipmentProfile, WaterSource, Ingredient, IngredientLot, StockMovement, Supplier, Recipe, RecipeVersion, RecipeItem, BrewOrder, Batch, ProductionStep, Measurement, Correction, FermentationReading, PackageLot, QualityCheck, CostSnapshot, AuditEvent e AiInteraction.</w:t>
      </w:r>
    </w:p>
    <w:p>
      <w:r>
        <w:br w:type="page"/>
      </w:r>
    </w:p>
    <w:p>
      <w:pPr>
        <w:keepNext/>
        <w:spacing w:before="100" w:after="60"/>
      </w:pPr>
      <w:r>
        <w:rPr>
          <w:rFonts w:ascii="Aptos" w:hAnsi="Aptos"/>
          <w:b/>
          <w:color w:val="D99A2B"/>
          <w:sz w:val="14"/>
        </w:rPr>
        <w:t xml:space="preserve">05  </w:t>
      </w:r>
      <w:r>
        <w:rPr>
          <w:rFonts w:ascii="Aptos" w:hAnsi="Aptos"/>
          <w:b/>
          <w:color w:val="0B2545"/>
          <w:sz w:val="24"/>
        </w:rPr>
        <w:t>Integração com IA, contratos e plano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DF3F8"/>
          <w:left w:val="single" w:sz="0" w:space="0" w:color="EDF3F8"/>
          <w:bottom w:val="single" w:sz="0" w:space="0" w:color="EDF3F8"/>
          <w:right w:val="single" w:sz="0" w:space="0" w:color="EDF3F8"/>
          <w:insideH w:val="single" w:sz="0" w:space="0" w:color="EDF3F8"/>
          <w:insideV w:val="single" w:sz="0" w:space="0" w:color="EDF3F8"/>
        </w:tblBorders>
      </w:tblPr>
      <w:tblGrid>
        <w:gridCol w:w="158"/>
        <w:gridCol w:w="10310"/>
      </w:tblGrid>
      <w:tr>
        <w:tc>
          <w:tcPr>
            <w:tcW w:type="dxa" w:w="158"/>
            <w:tcMar>
              <w:top w:w="45" w:type="dxa"/>
              <w:start w:w="0" w:type="dxa"/>
              <w:bottom w:w="45" w:type="dxa"/>
              <w:end w:w="0" w:type="dxa"/>
            </w:tcMar>
            <w:vAlign w:val="center"/>
            <w:shd w:fill="D99A2B"/>
          </w:tcPr>
          <w:p/>
        </w:tc>
        <w:tc>
          <w:tcPr>
            <w:tcW w:type="dxa" w:w="103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EDF3F8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B2545"/>
                <w:sz w:val="16"/>
              </w:rPr>
              <w:t xml:space="preserve">Papel da IA — </w:t>
            </w:r>
            <w:r>
              <w:rPr>
                <w:rFonts w:ascii="Aptos" w:hAnsi="Aptos"/>
                <w:b w:val="0"/>
                <w:color w:val="202B36"/>
                <w:sz w:val="16"/>
              </w:rPr>
              <w:t>atuar como copiloto: explicar, comparar, detectar inconsistências e propor alternativas. Cálculos determinísticos permanecem em serviços de domínio; nenhuma sugestão altera receita, estoque ou produção sem ação explícita do usuário.</w:t>
            </w:r>
          </w:p>
        </w:tc>
      </w:tr>
    </w:tbl>
    <w:p>
      <w:pPr>
        <w:spacing w:after="0" w:before="0" w:line="48" w:lineRule="auto"/>
      </w:pPr>
    </w:p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Arquitetura da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1929"/>
        <w:gridCol w:w="3240"/>
        <w:gridCol w:w="3081"/>
        <w:gridCol w:w="2217"/>
      </w:tblGrid>
      <w:tr>
        <w:tc>
          <w:tcPr>
            <w:tcW w:type="dxa" w:w="19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CAPACIDADE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CONTEXTO AUTORIZADO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MECANISMO</w:t>
            </w:r>
          </w:p>
        </w:tc>
        <w:tc>
          <w:tcPr>
            <w:tcW w:type="dxa" w:w="22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</w:tr>
      <w:tr>
        <w:tc>
          <w:tcPr>
            <w:tcW w:type="dxa" w:w="19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Receitas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Versões, equipamento, estoque, histórico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Ferramentas de cálculo + resposta estruturada</w:t>
            </w:r>
          </w:p>
        </w:tc>
        <w:tc>
          <w:tcPr>
            <w:tcW w:type="dxa" w:w="22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Entradas, fórmula e diferenças</w:t>
            </w:r>
          </w:p>
        </w:tc>
      </w:tr>
      <w:tr>
        <w:tc>
          <w:tcPr>
            <w:tcW w:type="dxa" w:w="19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Produção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Etapa atual, medições e metas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Regras primeiro; LLM interpreta e prioriza</w:t>
            </w:r>
          </w:p>
        </w:tc>
        <w:tc>
          <w:tcPr>
            <w:tcW w:type="dxa" w:w="22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Hipóteses, confiança e riscos</w:t>
            </w:r>
          </w:p>
        </w:tc>
      </w:tr>
      <w:tr>
        <w:tc>
          <w:tcPr>
            <w:tcW w:type="dxa" w:w="19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Conhecimento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Manuais, POPs, laudos e notas próprias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RAG com chunks, metadados e filtros por cervejaria</w:t>
            </w:r>
          </w:p>
        </w:tc>
        <w:tc>
          <w:tcPr>
            <w:tcW w:type="dxa" w:w="22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Trechos/fontes recuperados</w:t>
            </w:r>
          </w:p>
        </w:tc>
      </w:tr>
      <w:tr>
        <w:tc>
          <w:tcPr>
            <w:tcW w:type="dxa" w:w="19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Análises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Lotes encerrados e avaliações sensoriais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Consultas somente leitura + agregações</w:t>
            </w:r>
          </w:p>
        </w:tc>
        <w:tc>
          <w:tcPr>
            <w:tcW w:type="dxa" w:w="22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Período, filtros e dataset</w:t>
            </w:r>
          </w:p>
        </w:tc>
      </w:tr>
    </w:tbl>
    <w:p>
      <w:pPr>
        <w:spacing w:before="0" w:after="60" w:line="259" w:lineRule="auto"/>
      </w:pPr>
      <w:r>
        <w:rPr>
          <w:rFonts w:ascii="Aptos" w:hAnsi="Aptos"/>
          <w:b w:val="0"/>
          <w:color w:val="202B36"/>
          <w:sz w:val="15"/>
        </w:rPr>
        <w:t>Controles obrigatórios: gateway próprio para trocar provedor/modelo; prompts versionados; schemas JSON validados; limite de tokens/custo; timeout e fallback; mascaramento de segredos; log de modelo, prompt, fontes, latência e usuário; opt-out por cervejaria; testes contra prompt injection em documentos; retenção configurável.</w:t>
      </w:r>
    </w:p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Contratos técnicos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1800"/>
        <w:gridCol w:w="4680"/>
        <w:gridCol w:w="3988"/>
      </w:tblGrid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PADRÃO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6E69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EXEMPLOS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API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/api/v1; erros RFC 7807; paginação/filtros; idempotency-key em comandos críticos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POST /recipes/{id}/publish · /brew-orders/{id}/start · /measurements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Eventos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Outbox transacional; nome no passado; payload versionado; consumidor idempotente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BrewOrderReleased · StockReserved · MeasurementRecorded · BatchClosed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Dados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Migrations Flyway; constraints no banco; otimistic locking; índices por brewery/status/data</w:t>
            </w:r>
          </w:p>
        </w:tc>
        <w:tc>
          <w:tcPr>
            <w:tcW w:type="dxa" w:w="39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UQ(recipe_id, version) · CHECK(quantity &gt; 0) · audit_event append-only</w:t>
            </w:r>
          </w:p>
        </w:tc>
      </w:tr>
    </w:tbl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Roadmap recomendado — entregas verticais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1497"/>
        <w:gridCol w:w="3081"/>
        <w:gridCol w:w="3715"/>
        <w:gridCol w:w="2174"/>
      </w:tblGrid>
      <w:tr>
        <w:tc>
          <w:tcPr>
            <w:tcW w:type="dxa" w:w="14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ESCOPO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RESULTADO DEMONSTRÁVEL</w:t>
            </w:r>
          </w:p>
        </w:tc>
        <w:tc>
          <w:tcPr>
            <w:tcW w:type="dxa" w:w="21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B2545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SAÍDA</w:t>
            </w:r>
          </w:p>
        </w:tc>
      </w:tr>
      <w:tr>
        <w:tc>
          <w:tcPr>
            <w:tcW w:type="dxa" w:w="14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MVP · 1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Base, usuários, equipamentos, ingredientes e receitas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Criar, calcular, versionar e escalar uma receita</w:t>
            </w:r>
          </w:p>
        </w:tc>
        <w:tc>
          <w:tcPr>
            <w:tcW w:type="dxa" w:w="21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Release utilizável</w:t>
            </w:r>
          </w:p>
        </w:tc>
      </w:tr>
      <w:tr>
        <w:tc>
          <w:tcPr>
            <w:tcW w:type="dxa" w:w="14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MVP · 2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OP, roteiro de brassagem, medições e cronômetros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Executar lote da água à transferência</w:t>
            </w:r>
          </w:p>
        </w:tc>
        <w:tc>
          <w:tcPr>
            <w:tcW w:type="dxa" w:w="21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Produção assistida</w:t>
            </w:r>
          </w:p>
        </w:tc>
      </w:tr>
      <w:tr>
        <w:tc>
          <w:tcPr>
            <w:tcW w:type="dxa" w:w="14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MVP · 3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Fermentação, envase, estoque por lote e custos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Rastrear insumo → lote → embalagem</w:t>
            </w:r>
          </w:p>
        </w:tc>
        <w:tc>
          <w:tcPr>
            <w:tcW w:type="dxa" w:w="21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3F8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Ciclo fechado</w:t>
            </w:r>
          </w:p>
        </w:tc>
      </w:tr>
      <w:tr>
        <w:tc>
          <w:tcPr>
            <w:tcW w:type="dxa" w:w="149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Evolução</w:t>
            </w:r>
          </w:p>
        </w:tc>
        <w:tc>
          <w:tcPr>
            <w:tcW w:type="dxa" w:w="30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Qualidade, relatórios, sensores/importações e copiloto IA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Comparar lotes e recomendar com evidências</w:t>
            </w:r>
          </w:p>
        </w:tc>
        <w:tc>
          <w:tcPr>
            <w:tcW w:type="dxa" w:w="21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color w:val="202B36"/>
                <w:sz w:val="14"/>
              </w:rPr>
              <w:t>Aprendizado contínuo</w:t>
            </w:r>
          </w:p>
        </w:tc>
      </w:tr>
    </w:tbl>
    <w:p>
      <w:pPr>
        <w:keepNext/>
        <w:spacing w:before="70" w:after="40"/>
      </w:pPr>
      <w:r>
        <w:rPr>
          <w:rFonts w:ascii="Aptos" w:hAnsi="Aptos"/>
          <w:b/>
          <w:color w:val="075652"/>
          <w:sz w:val="19"/>
        </w:rPr>
        <w:t>Qualidade, segurança e definição de pronto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6DF"/>
          <w:left w:val="single" w:sz="4" w:space="0" w:color="CBD6DF"/>
          <w:bottom w:val="single" w:sz="4" w:space="0" w:color="CBD6DF"/>
          <w:right w:val="single" w:sz="4" w:space="0" w:color="CBD6DF"/>
          <w:insideH w:val="single" w:sz="4" w:space="0" w:color="CBD6DF"/>
          <w:insideV w:val="single" w:sz="4" w:space="0" w:color="CBD6DF"/>
        </w:tblBorders>
      </w:tblPr>
      <w:tblGrid>
        <w:gridCol w:w="3484"/>
        <w:gridCol w:w="3484"/>
        <w:gridCol w:w="3499"/>
      </w:tblGrid>
      <w:tr>
        <w:tc>
          <w:tcPr>
            <w:tcW w:type="dxa" w:w="3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TESTES</w:t>
              <w:br/>
            </w:r>
            <w:r>
              <w:rPr>
                <w:rFonts w:ascii="Aptos" w:hAnsi="Aptos"/>
                <w:b w:val="0"/>
                <w:color w:val="202B36"/>
                <w:sz w:val="14"/>
              </w:rPr>
              <w:t>Unitários de regras e fórmulas; integração com Testcontainers; contratos de API; E2E do fluxo principal; datasets dourados para IA.</w:t>
            </w:r>
          </w:p>
        </w:tc>
        <w:tc>
          <w:tcPr>
            <w:tcW w:type="dxa" w:w="3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SEGURANÇA</w:t>
              <w:br/>
            </w:r>
            <w:r>
              <w:rPr>
                <w:rFonts w:ascii="Aptos" w:hAnsi="Aptos"/>
                <w:b w:val="0"/>
                <w:color w:val="202B36"/>
                <w:sz w:val="14"/>
              </w:rPr>
              <w:t>OIDC/JWT, RBAC por cervejaria, TLS, secrets externos, trilha append-only, backup testado, OWASP e restauração ensaiada.</w:t>
            </w:r>
          </w:p>
        </w:tc>
        <w:tc>
          <w:tcPr>
            <w:tcW w:type="dxa" w:w="349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7F6"/>
          </w:tcPr>
          <w:p>
            <w:pPr>
              <w:spacing w:before="0" w:after="0" w:line="247" w:lineRule="auto"/>
            </w:pPr>
            <w:r>
              <w:rPr>
                <w:rFonts w:ascii="Aptos" w:hAnsi="Aptos"/>
                <w:b/>
                <w:color w:val="075652"/>
                <w:sz w:val="14"/>
              </w:rPr>
              <w:t>PRONTO QUANDO</w:t>
              <w:br/>
            </w:r>
            <w:r>
              <w:rPr>
                <w:rFonts w:ascii="Aptos" w:hAnsi="Aptos"/>
                <w:b w:val="0"/>
                <w:color w:val="202B36"/>
                <w:sz w:val="14"/>
              </w:rPr>
              <w:t>Critérios aceitos; migrations reversíveis; observabilidade; documentação OpenAPI/ADR; acessibilidade; teste e rollback no pipeline.</w:t>
            </w:r>
          </w:p>
        </w:tc>
      </w:tr>
    </w:tbl>
    <w:p>
      <w:pPr>
        <w:spacing w:before="0" w:after="0" w:line="259" w:lineRule="auto"/>
      </w:pPr>
      <w:r>
        <w:rPr>
          <w:rFonts w:ascii="Aptos" w:hAnsi="Aptos"/>
          <w:b w:val="0"/>
          <w:color w:val="5D6975"/>
          <w:sz w:val="15"/>
        </w:rPr>
        <w:t>Decisões a registrar em ADR antes do primeiro sprint: autenticação gerenciada ou própria; single-tenant inicial com brewery_id obrigatório; política de unidades/conversões; estratégia offline da PWA; provedor de objetos; integração inicial da IA; limites operacionais do perfil SB40; formato de importação/exportação de receitas.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19" w:right="720" w:bottom="619" w:left="720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D6975"/>
        <w:sz w:val="13"/>
      </w:rPr>
      <w:t xml:space="preserve">BrassIA  •  v2.0  |  </w:t>
    </w:r>
    <w:r>
      <w:rPr>
        <w:rFonts w:ascii="Aptos" w:hAnsi="Aptos"/>
        <w:color w:val="5D6975"/>
        <w:sz w:val="13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5D6975"/>
        <w:sz w:val="13"/>
      </w:rPr>
      <w:t>BRASSIA  •  BLUEPRINT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Aptos" w:hAnsi="Aptos"/>
      <w:color w:val="202B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BrassIA — Blueprint técnico consolidado</dc:title>
  <dc:subject>Arquitetura, domínio e execução da plataforma inteligente de gestão cervejeira BrassIA</dc:subject>
  <dc:creator>Projeto Sistema de Gestão Cervejeira</dc:creator>
  <cp:keywords>cerveja artesanal, arquitetura, produção, receita, estoque, IA, RAG</cp:keywords>
  <dc:description>Identidade atualizada para BrassIA em 17 jul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