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rPr>
          <w:b/>
          <w:bCs/>
          <w:color w:val="3f6b57"/>
          <w:sz w:val="30"/>
          <w:szCs w:val="30"/>
        </w:rPr>
        <w:t xml:space="preserve">GUIA VISUAL</w:t>
      </w:r>
    </w:p>
    <w:p>
      <w:pPr>
        <w:spacing w:after="160" w:before="120"/>
        <w:jc w:val="center"/>
      </w:pPr>
      <w:r>
        <w:rPr>
          <w:b/>
          <w:bCs/>
          <w:color w:val="1f2a37"/>
          <w:sz w:val="26"/>
          <w:szCs w:val="26"/>
        </w:rPr>
        <w:t xml:space="preserve">Passo a Passo da Bandagem Elástica em Cirurgias Faciais</w:t>
      </w:r>
    </w:p>
    <w:p>
      <w:pPr>
        <w:spacing w:after="120"/>
        <w:jc w:val="center"/>
      </w:pPr>
      <w:r>
        <w:rPr>
          <w:i/>
          <w:iCs/>
          <w:color w:val="5b6472"/>
          <w:sz w:val="20"/>
          <w:szCs w:val="20"/>
        </w:rPr>
        <w:t xml:space="preserve">Blefaroplastia · Ritidoplastia · Lifting de Têmporas · Lifting de Sobrancelha</w:t>
      </w:r>
    </w:p>
    <w:p>
      <w:pPr>
        <w:spacing w:after="120"/>
        <w:jc w:val="center"/>
      </w:pPr>
      <w:r>
        <w:rPr>
          <w:i/>
          <w:iCs/>
          <w:color w:val="5b6472"/>
          <w:sz w:val="18"/>
          <w:szCs w:val="18"/>
        </w:rPr>
        <w:t xml:space="preserve">Setembro de 2026</w:t>
      </w:r>
    </w:p>
    <w:p>
      <w:pPr>
        <w:spacing w:after="200"/>
      </w:pPr>
    </w:p>
    <w:tbl>
      <w:tblPr>
        <w:tblW w:type="dxa" w:w="9936"/>
        <w:tblBorders>
          <w:top w:val="single" w:color="a12622" w:sz="4"/>
          <w:left w:val="single" w:color="a12622" w:sz="4"/>
          <w:bottom w:val="single" w:color="a12622" w:sz="4"/>
          <w:right w:val="single" w:color="a12622" w:sz="4"/>
          <w:insideH w:val="single" w:color="auto" w:sz="4"/>
          <w:insideV w:val="single" w:color="auto" w:sz="4"/>
        </w:tblBorders>
      </w:tblPr>
      <w:tblGrid>
        <w:gridCol w:w="9936"/>
      </w:tblGrid>
      <w:tr>
        <w:tc>
          <w:tcPr>
            <w:tcW w:type="dxa" w:w="9936"/>
            <w:shd w:fill="fdecea" w:val="clear"/>
            <w:tcMar>
              <w:top w:type="dxa" w:w="140"/>
              <w:left w:type="dxa" w:w="220"/>
              <w:bottom w:type="dxa" w:w="140"/>
              <w:right w:type="dxa" w:w="220"/>
            </w:tcMar>
          </w:tcPr>
          <w:p>
            <w:r>
              <w:rPr>
                <w:b/>
                <w:bCs/>
                <w:color w:val="a12622"/>
                <w:sz w:val="20"/>
                <w:szCs w:val="20"/>
              </w:rPr>
              <w:t xml:space="preserve">SOBRE AS IMAGENS DESTE GUIA — leia antes de usar</w:t>
            </w:r>
          </w:p>
        </w:tc>
      </w:tr>
    </w:tbl>
    <w:p>
      <w:pPr>
        <w:spacing w:after="100"/>
      </w:pPr>
    </w:p>
    <w:p>
      <w:pPr>
        <w:spacing w:after="140"/>
      </w:pPr>
      <w:r>
        <w:rPr>
          <w:color w:val="1f2a37"/>
          <w:sz w:val="20"/>
          <w:szCs w:val="20"/>
        </w:rPr>
        <w:t xml:space="preserve">Este guia usa apenas fotografias e figuras já publicadas por outros autores, mantendo o crédito completo da fonte — nenhuma foto foi gerada ou inventada. Depois de uma busca nos artigos científicos citados no manual completo, apenas UM registro fotográfico foi encontrado com licença aberta (Creative Commons, que permite reprodução com crédito) mostrando de forma clara a técnica de bandagem em leque na região da face/mandíbula. Ele está no passo de Ritidoplastia/Têmporas, com a citação completa da fonte.</w:t>
      </w:r>
    </w:p>
    <w:p>
      <w:pPr>
        <w:spacing w:after="140"/>
      </w:pPr>
      <w:r>
        <w:rPr>
          <w:color w:val="1f2a37"/>
          <w:sz w:val="20"/>
          <w:szCs w:val="20"/>
        </w:rPr>
        <w:t xml:space="preserve">Para Blefaroplastia e Lifting de Sobrancelha, o registro fotográfico mais fiel à técnica exata é o do manual técnico de Cunha, Rolim, Ribeiro &amp; Alencar (EdUnichristus, 2024) — mas esse e-book está publicado com "todos os direitos reservados", então suas fotos não podem ser reproduzidas aqui sem autorização direta dos autores/editora. Se você conseguir essa autorização por escrito, essas fotos podem ser adicionadas depois.</w:t>
      </w:r>
    </w:p>
    <w:p>
      <w:pPr>
        <w:spacing w:after="0"/>
      </w:pPr>
      <w:r>
        <w:rPr>
          <w:i/>
          <w:iCs/>
          <w:color w:val="1f2a37"/>
          <w:sz w:val="20"/>
          <w:szCs w:val="20"/>
        </w:rPr>
        <w:t xml:space="preserve">Por isso, os passos abaixo estão descritos em formato visual (numerado, com tags de tensão/duração/direção), com foto real apenas onde há uma imagem de uso liberado.</w:t>
      </w:r>
    </w:p>
    <w:p>
      <w:pPr>
        <w:pStyle w:val="Heading1"/>
        <w:pageBreakBefore/>
        <w:spacing w:after="160" w:before="0"/>
      </w:pPr>
      <w:r>
        <w:t xml:space="preserve">1. Blefaroplastia</w:t>
      </w:r>
    </w:p>
    <w:tbl>
      <w:tblPr>
        <w:tblW w:type="dxa" w:w="9936"/>
        <w:tblBorders>
          <w:top w:val="single" w:color="1e6b45" w:sz="4"/>
          <w:left w:val="single" w:color="1e6b45" w:sz="4"/>
          <w:bottom w:val="single" w:color="1e6b45" w:sz="4"/>
          <w:right w:val="single" w:color="1e6b45" w:sz="4"/>
          <w:insideH w:val="single" w:color="auto" w:sz="4"/>
          <w:insideV w:val="single" w:color="auto" w:sz="4"/>
        </w:tblBorders>
      </w:tblPr>
      <w:tblGrid>
        <w:gridCol w:w="9936"/>
      </w:tblGrid>
      <w:tr>
        <w:tc>
          <w:tcPr>
            <w:tcW w:type="dxa" w:w="9936"/>
            <w:shd w:fill="e7f3ec" w:val="clear"/>
            <w:tcMar>
              <w:top w:type="dxa" w:w="140"/>
              <w:left w:type="dxa" w:w="220"/>
              <w:bottom w:type="dxa" w:w="140"/>
              <w:right w:type="dxa" w:w="220"/>
            </w:tcMar>
          </w:tcPr>
          <w:p>
            <w:r>
              <w:rPr>
                <w:b/>
                <w:bCs/>
                <w:color w:val="1e6b45"/>
                <w:sz w:val="20"/>
                <w:szCs w:val="20"/>
              </w:rPr>
              <w:t xml:space="preserve">EVIDÊNCIA MODERADA — protocolo publicado (Cunha et al., 2024)</w:t>
            </w:r>
          </w:p>
        </w:tc>
      </w:tr>
    </w:tbl>
    <w:p>
      <w:pPr>
        <w:spacing w:after="1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1</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Prepare a pele</w:t>
            </w:r>
          </w:p>
          <w:p>
            <w:pPr>
              <w:spacing w:after="0"/>
            </w:pPr>
            <w:r>
              <w:rPr>
                <w:color w:val="1f2a37"/>
                <w:sz w:val="20"/>
                <w:szCs w:val="20"/>
              </w:rPr>
              <w:t xml:space="preserve">Limpe a região periocular com gaze/soro fisiológico e seque completamente.</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2</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Corte a fita-base</w:t>
            </w:r>
          </w:p>
          <w:p>
            <w:pPr>
              <w:spacing w:after="0"/>
            </w:pPr>
            <w:r>
              <w:rPr>
                <w:color w:val="1f2a37"/>
                <w:sz w:val="20"/>
                <w:szCs w:val="20"/>
              </w:rPr>
              <w:t xml:space="preserve">Corte um segmento de kinesio tape de 10–15 cm de comprimento por 5 cm de largura.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3</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Corte as 3 tiras ("polvo")</w:t>
            </w:r>
          </w:p>
          <w:p>
            <w:pPr>
              <w:spacing w:after="60"/>
            </w:pPr>
            <w:r>
              <w:rPr>
                <w:color w:val="1f2a37"/>
                <w:sz w:val="20"/>
                <w:szCs w:val="20"/>
              </w:rPr>
              <w:t xml:space="preserve">2 tiras finas (pálpebra superior) + 1 tira larga (pálpebra inferior). Arredonde todas as pontas.</w:t>
            </w:r>
          </w:p>
          <w:p>
            <w:pPr>
              <w:spacing w:after="0" w:before="40"/>
            </w:pPr>
            <w:r>
              <w:rPr>
                <w:b/>
                <w:bCs/>
                <w:color w:val="a1490f"/>
                <w:sz w:val="18"/>
                <w:szCs w:val="18"/>
              </w:rPr>
              <w:t xml:space="preserve">PÁLPEBRA SUP.: 0,5–1 cm</w:t>
            </w:r>
            <w:r>
              <w:rPr>
                <w:sz w:val="18"/>
                <w:szCs w:val="18"/>
              </w:rPr>
              <w:t xml:space="preserve">    </w:t>
            </w:r>
            <w:r>
              <w:rPr>
                <w:b/>
                <w:bCs/>
                <w:color w:val="a1490f"/>
                <w:sz w:val="18"/>
                <w:szCs w:val="18"/>
              </w:rPr>
              <w:t xml:space="preserve">PÁLPEBRA INF.: 2,5–3 cm</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4</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Fixe a base</w:t>
            </w:r>
          </w:p>
          <w:p>
            <w:pPr>
              <w:spacing w:after="60"/>
            </w:pPr>
            <w:r>
              <w:rPr>
                <w:color w:val="1f2a37"/>
                <w:sz w:val="20"/>
                <w:szCs w:val="20"/>
              </w:rPr>
              <w:t xml:space="preserve">Posicione a base (sem corte) ligeiramente abaixo do canto lateral do olho — sem tensão.</w:t>
            </w:r>
          </w:p>
          <w:p>
            <w:pPr>
              <w:spacing w:after="0" w:before="40"/>
            </w:pPr>
            <w:r>
              <w:rPr>
                <w:b/>
                <w:bCs/>
                <w:color w:val="5b7fb5"/>
                <w:sz w:val="18"/>
                <w:szCs w:val="18"/>
              </w:rPr>
              <w:t xml:space="preserve">TENSÃO DA BASE: 0%</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5</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Aplique as tiras</w:t>
            </w:r>
          </w:p>
          <w:p>
            <w:pPr>
              <w:spacing w:after="60"/>
            </w:pPr>
            <w:r>
              <w:rPr>
                <w:color w:val="1f2a37"/>
                <w:sz w:val="20"/>
                <w:szCs w:val="20"/>
              </w:rPr>
              <w:t xml:space="preserve">Estique cada tira em direção à pálpebra correspondente, contornando a cicatriz — nunca sobre ela.</w:t>
            </w:r>
          </w:p>
          <w:p>
            <w:pPr>
              <w:spacing w:after="0" w:before="40"/>
            </w:pPr>
            <w:r>
              <w:rPr>
                <w:b/>
                <w:bCs/>
                <w:color w:val="5b7fb5"/>
                <w:sz w:val="18"/>
                <w:szCs w:val="18"/>
              </w:rPr>
              <w:t xml:space="preserve">TENSÃO: 10–20%</w:t>
            </w:r>
            <w:r>
              <w:rPr>
                <w:sz w:val="18"/>
                <w:szCs w:val="18"/>
              </w:rPr>
              <w:t xml:space="preserve">    </w:t>
            </w:r>
            <w:r>
              <w:rPr>
                <w:b/>
                <w:bCs/>
                <w:color w:val="3f6b57"/>
                <w:sz w:val="18"/>
                <w:szCs w:val="18"/>
              </w:rPr>
              <w:t xml:space="preserve">DIREÇÃO: canto lateral → pálpebras</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3f6b57" w:val="clear"/>
            <w:tcMar>
              <w:top w:type="dxa" w:w="160"/>
              <w:left w:type="dxa" w:w="0"/>
              <w:bottom w:type="dxa" w:w="160"/>
              <w:right w:type="dxa" w:w="0"/>
            </w:tcMar>
            <w:vAlign w:val="center"/>
          </w:tcPr>
          <w:p>
            <w:pPr>
              <w:jc w:val="center"/>
            </w:pPr>
            <w:r>
              <w:rPr>
                <w:b/>
                <w:bCs/>
                <w:color w:val="FFFFFF"/>
                <w:sz w:val="36"/>
                <w:szCs w:val="36"/>
              </w:rPr>
              <w:t xml:space="preserve">6</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Mantenha e monitore</w:t>
            </w:r>
          </w:p>
          <w:p>
            <w:pPr>
              <w:spacing w:after="60"/>
            </w:pPr>
            <w:r>
              <w:rPr>
                <w:color w:val="1f2a37"/>
                <w:sz w:val="20"/>
                <w:szCs w:val="20"/>
              </w:rPr>
              <w:t xml:space="preserve">Deixe até a retirada dos pontos, trocando antes se sujar ou descolar. Remova se houver dor, eritema ou má perfusão.</w:t>
            </w:r>
          </w:p>
          <w:p>
            <w:pPr>
              <w:spacing w:after="0" w:before="40"/>
            </w:pPr>
            <w:r>
              <w:rPr>
                <w:b/>
                <w:bCs/>
                <w:color w:val="3f6b57"/>
                <w:sz w:val="18"/>
                <w:szCs w:val="18"/>
              </w:rPr>
              <w:t xml:space="preserve">DURAÇÃO: até 5º–10º dia</w:t>
            </w:r>
          </w:p>
        </w:tc>
      </w:tr>
    </w:tbl>
    <w:p>
      <w:pPr>
        <w:spacing w:after="100"/>
      </w:pPr>
    </w:p>
    <w:p>
      <w:pPr>
        <w:spacing w:after="200" w:before="100"/>
      </w:pPr>
      <w:r>
        <w:rPr>
          <w:sz w:val="20"/>
          <w:szCs w:val="20"/>
        </w:rPr>
        <w:t xml:space="preserve">📷 </w:t>
      </w:r>
      <w:r>
        <w:rPr>
          <w:i/>
          <w:iCs/>
          <w:color w:val="5b6472"/>
          <w:sz w:val="19"/>
          <w:szCs w:val="19"/>
        </w:rPr>
        <w:t xml:space="preserve">Sem foto de uso aberto disponível para este procedimento — ver nota na capa.</w:t>
      </w:r>
    </w:p>
    <w:p>
      <w:pPr>
        <w:pStyle w:val="Heading1"/>
        <w:pageBreakBefore/>
        <w:spacing w:after="160" w:before="0"/>
      </w:pPr>
      <w:r>
        <w:t xml:space="preserve">2. Ritidoplastia e Lifting de Têmporas</w:t>
      </w:r>
    </w:p>
    <w:tbl>
      <w:tblPr>
        <w:tblW w:type="dxa" w:w="9936"/>
        <w:tblBorders>
          <w:top w:val="single" w:color="a15c07" w:sz="4"/>
          <w:left w:val="single" w:color="a15c07" w:sz="4"/>
          <w:bottom w:val="single" w:color="a15c07" w:sz="4"/>
          <w:right w:val="single" w:color="a15c07" w:sz="4"/>
          <w:insideH w:val="single" w:color="auto" w:sz="4"/>
          <w:insideV w:val="single" w:color="auto" w:sz="4"/>
        </w:tblBorders>
      </w:tblPr>
      <w:tblGrid>
        <w:gridCol w:w="9936"/>
      </w:tblGrid>
      <w:tr>
        <w:tc>
          <w:tcPr>
            <w:tcW w:type="dxa" w:w="9936"/>
            <w:shd w:fill="fdf1e0" w:val="clear"/>
            <w:tcMar>
              <w:top w:type="dxa" w:w="140"/>
              <w:left w:type="dxa" w:w="220"/>
              <w:bottom w:type="dxa" w:w="140"/>
              <w:right w:type="dxa" w:w="220"/>
            </w:tcMar>
          </w:tcPr>
          <w:p>
            <w:r>
              <w:rPr>
                <w:b/>
                <w:bCs/>
                <w:color w:val="a15c07"/>
                <w:sz w:val="20"/>
                <w:szCs w:val="20"/>
              </w:rPr>
              <w:t xml:space="preserve">SEM RCT ESPECÍFICO — protocolo extrapolado de cirurgia ortognática e fraturas faciais</w:t>
            </w:r>
          </w:p>
        </w:tc>
      </w:tr>
    </w:tbl>
    <w:p>
      <w:pPr>
        <w:spacing w:after="1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5b7fb5" w:val="clear"/>
            <w:tcMar>
              <w:top w:type="dxa" w:w="160"/>
              <w:left w:type="dxa" w:w="0"/>
              <w:bottom w:type="dxa" w:w="160"/>
              <w:right w:type="dxa" w:w="0"/>
            </w:tcMar>
            <w:vAlign w:val="center"/>
          </w:tcPr>
          <w:p>
            <w:pPr>
              <w:jc w:val="center"/>
            </w:pPr>
            <w:r>
              <w:rPr>
                <w:b/>
                <w:bCs/>
                <w:color w:val="FFFFFF"/>
                <w:sz w:val="36"/>
                <w:szCs w:val="36"/>
              </w:rPr>
              <w:t xml:space="preserve">1</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Ancore nos linfonodos</w:t>
            </w:r>
          </w:p>
          <w:p>
            <w:pPr>
              <w:spacing w:after="60"/>
            </w:pPr>
            <w:r>
              <w:rPr>
                <w:color w:val="1f2a37"/>
                <w:sz w:val="20"/>
                <w:szCs w:val="20"/>
              </w:rPr>
              <w:t xml:space="preserve">Fixe a base (sem tensão) na região pré-auricular, submandibular e/ou cervical superior — a mais próxima da área operada.</w:t>
            </w:r>
          </w:p>
          <w:p>
            <w:pPr>
              <w:spacing w:after="0" w:before="40"/>
            </w:pPr>
            <w:r>
              <w:rPr>
                <w:b/>
                <w:bCs/>
                <w:color w:val="5b7fb5"/>
                <w:sz w:val="18"/>
                <w:szCs w:val="18"/>
              </w:rPr>
              <w:t xml:space="preserve">TENSÃO DA BASE: 0%</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5b7fb5" w:val="clear"/>
            <w:tcMar>
              <w:top w:type="dxa" w:w="160"/>
              <w:left w:type="dxa" w:w="0"/>
              <w:bottom w:type="dxa" w:w="160"/>
              <w:right w:type="dxa" w:w="0"/>
            </w:tcMar>
            <w:vAlign w:val="center"/>
          </w:tcPr>
          <w:p>
            <w:pPr>
              <w:jc w:val="center"/>
            </w:pPr>
            <w:r>
              <w:rPr>
                <w:b/>
                <w:bCs/>
                <w:color w:val="FFFFFF"/>
                <w:sz w:val="36"/>
                <w:szCs w:val="36"/>
              </w:rPr>
              <w:t xml:space="preserve">2</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Corte as tiras em leque</w:t>
            </w:r>
          </w:p>
          <w:p>
            <w:pPr>
              <w:spacing w:after="0"/>
            </w:pPr>
            <w:r>
              <w:rPr>
                <w:color w:val="1f2a37"/>
                <w:sz w:val="20"/>
                <w:szCs w:val="20"/>
              </w:rPr>
              <w:t xml:space="preserve">Tiras de 1–1,5 cm de largura, base de ~5 cm sem tensão.</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5b7fb5" w:val="clear"/>
            <w:tcMar>
              <w:top w:type="dxa" w:w="160"/>
              <w:left w:type="dxa" w:w="0"/>
              <w:bottom w:type="dxa" w:w="160"/>
              <w:right w:type="dxa" w:w="0"/>
            </w:tcMar>
            <w:vAlign w:val="center"/>
          </w:tcPr>
          <w:p>
            <w:pPr>
              <w:jc w:val="center"/>
            </w:pPr>
            <w:r>
              <w:rPr>
                <w:b/>
                <w:bCs/>
                <w:color w:val="FFFFFF"/>
                <w:sz w:val="36"/>
                <w:szCs w:val="36"/>
              </w:rPr>
              <w:t xml:space="preserve">3</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Direcione para a âncora</w:t>
            </w:r>
          </w:p>
          <w:p>
            <w:pPr>
              <w:spacing w:after="60"/>
            </w:pPr>
            <w:r>
              <w:rPr>
                <w:color w:val="1f2a37"/>
                <w:sz w:val="20"/>
                <w:szCs w:val="20"/>
              </w:rPr>
              <w:t xml:space="preserve">Tiras dispostas em leque, acompanhando o retalho (malar/temporal → pré-auricular/cervical), tracionadas sempre em direção à base fixa.</w:t>
            </w:r>
          </w:p>
          <w:p>
            <w:pPr>
              <w:spacing w:after="0" w:before="40"/>
            </w:pPr>
            <w:r>
              <w:rPr>
                <w:b/>
                <w:bCs/>
                <w:color w:val="5b7fb5"/>
                <w:sz w:val="18"/>
                <w:szCs w:val="18"/>
              </w:rPr>
              <w:t xml:space="preserve">TENSÃO: 15–25%</w:t>
            </w:r>
            <w:r>
              <w:rPr>
                <w:sz w:val="18"/>
                <w:szCs w:val="18"/>
              </w:rPr>
              <w:t xml:space="preserve">    </w:t>
            </w:r>
            <w:r>
              <w:rPr>
                <w:b/>
                <w:bCs/>
                <w:color w:val="3f6b57"/>
                <w:sz w:val="18"/>
                <w:szCs w:val="18"/>
              </w:rPr>
              <w:t xml:space="preserve">DIREÇÃO: retalho → linfonodo</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5b7fb5" w:val="clear"/>
            <w:tcMar>
              <w:top w:type="dxa" w:w="160"/>
              <w:left w:type="dxa" w:w="0"/>
              <w:bottom w:type="dxa" w:w="160"/>
              <w:right w:type="dxa" w:w="0"/>
            </w:tcMar>
            <w:vAlign w:val="center"/>
          </w:tcPr>
          <w:p>
            <w:pPr>
              <w:jc w:val="center"/>
            </w:pPr>
            <w:r>
              <w:rPr>
                <w:b/>
                <w:bCs/>
                <w:color w:val="FFFFFF"/>
                <w:sz w:val="36"/>
                <w:szCs w:val="36"/>
              </w:rPr>
              <w:t xml:space="preserve">4</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Proteja a incisão</w:t>
            </w:r>
          </w:p>
          <w:p>
            <w:pPr>
              <w:spacing w:after="0"/>
            </w:pPr>
            <w:r>
              <w:rPr>
                <w:color w:val="1f2a37"/>
                <w:sz w:val="20"/>
                <w:szCs w:val="20"/>
              </w:rPr>
              <w:t xml:space="preserve">Nunca tracione sobre a incisão pré-auricular/temporal nem sobre bordas do retalho com risco de necrose.</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5b7fb5" w:val="clear"/>
            <w:tcMar>
              <w:top w:type="dxa" w:w="160"/>
              <w:left w:type="dxa" w:w="0"/>
              <w:bottom w:type="dxa" w:w="160"/>
              <w:right w:type="dxa" w:w="0"/>
            </w:tcMar>
            <w:vAlign w:val="center"/>
          </w:tcPr>
          <w:p>
            <w:pPr>
              <w:jc w:val="center"/>
            </w:pPr>
            <w:r>
              <w:rPr>
                <w:b/>
                <w:bCs/>
                <w:color w:val="FFFFFF"/>
                <w:sz w:val="36"/>
                <w:szCs w:val="36"/>
              </w:rPr>
              <w:t xml:space="preserve">5</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Mantenha e reavalie</w:t>
            </w:r>
          </w:p>
          <w:p>
            <w:pPr>
              <w:spacing w:after="60"/>
            </w:pPr>
            <w:r>
              <w:rPr>
                <w:color w:val="1f2a37"/>
                <w:sz w:val="20"/>
                <w:szCs w:val="20"/>
              </w:rPr>
              <w:t xml:space="preserve">Permanência sugerida de 5 dias, com reavaliação da viabilidade do retalho pelo cirurgião.</w:t>
            </w:r>
          </w:p>
          <w:p>
            <w:pPr>
              <w:spacing w:after="0" w:before="40"/>
            </w:pPr>
            <w:r>
              <w:rPr>
                <w:b/>
                <w:bCs/>
                <w:color w:val="3f6b57"/>
                <w:sz w:val="18"/>
                <w:szCs w:val="18"/>
              </w:rPr>
              <w:t xml:space="preserve">DURAÇÃO: ~5 dias</w:t>
            </w:r>
          </w:p>
        </w:tc>
      </w:tr>
    </w:tbl>
    <w:p>
      <w:pPr>
        <w:spacing w:after="140"/>
      </w:pPr>
    </w:p>
    <w:p>
      <w:pPr>
        <w:spacing w:after="60" w:before="120"/>
        <w:jc w:val="center"/>
      </w:pPr>
      <w:r>
        <w:drawing>
          <wp:inline distT="0" distB="0" distL="0" distR="0">
            <wp:extent cx="2476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495675"/>
                    </a:xfrm>
                    <a:prstGeom prst="rect">
                      <a:avLst/>
                    </a:prstGeom>
                  </pic:spPr>
                </pic:pic>
              </a:graphicData>
            </a:graphic>
          </wp:inline>
        </w:drawing>
      </w:r>
    </w:p>
    <w:p>
      <w:pPr>
        <w:spacing w:after="220"/>
        <w:jc w:val="center"/>
      </w:pPr>
      <w:r>
        <w:rPr>
          <w:color w:val="5b6472"/>
          <w:sz w:val="17"/>
          <w:szCs w:val="17"/>
        </w:rPr>
        <w:t xml:space="preserve">Foto real — aplicação em leque na região mandibular após cirurgia ortognática bimaxilar</w:t>
      </w:r>
      <w:r>
        <w:br/>
        <w:t xml:space="preserve"/>
      </w:r>
      <w:r>
        <w:rPr>
          <w:color w:val="5b6472"/>
          <w:sz w:val="17"/>
          <w:szCs w:val="17"/>
        </w:rPr>
        <w:t xml:space="preserve">(mesma lógica de ancoragem/direção extrapolada para ritidoplastia e lifting de têmporas).</w:t>
      </w:r>
      <w:r>
        <w:br/>
        <w:t xml:space="preserve"/>
      </w:r>
      <w:r>
        <w:rPr>
          <w:b/>
          <w:bCs/>
          <w:color w:val="5b6472"/>
          <w:sz w:val="17"/>
          <w:szCs w:val="17"/>
        </w:rPr>
        <w:t xml:space="preserve">Fonte: Golkar M, Taheri A, Alam M, Asadi Y, Keyhan SO. Maxillofacial Plastic and Reconstructive Surgery. 2023;45:22.</w:t>
      </w:r>
      <w:r>
        <w:br/>
        <w:t xml:space="preserve"/>
      </w:r>
      <w:r>
        <w:rPr>
          <w:color w:val="5b6472"/>
          <w:sz w:val="17"/>
          <w:szCs w:val="17"/>
        </w:rPr>
        <w:t xml:space="preserve">Licença Creative Commons Atribuição 4.0 (CC BY 4.0) — creativecommons.org/licenses/by/4.0/</w:t>
      </w:r>
    </w:p>
    <w:p>
      <w:pPr>
        <w:spacing w:after="80"/>
      </w:pP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color w:val="5b6472"/>
          <w:sz w:val="17"/>
          <w:szCs w:val="17"/>
        </w:rPr>
        <w:t xml:space="preserve">Ilustração de apoio (uso pessoal) — não é uma fotografia de aplicação real documentada.</w:t>
      </w:r>
    </w:p>
    <w:p>
      <w:pPr>
        <w:pStyle w:val="Heading1"/>
        <w:pageBreakBefore/>
        <w:spacing w:after="160" w:before="0"/>
      </w:pPr>
      <w:r>
        <w:t xml:space="preserve">3. Lifting de Sobrancelha</w:t>
      </w:r>
    </w:p>
    <w:tbl>
      <w:tblPr>
        <w:tblW w:type="dxa" w:w="9936"/>
        <w:tblBorders>
          <w:top w:val="single" w:color="a15c07" w:sz="4"/>
          <w:left w:val="single" w:color="a15c07" w:sz="4"/>
          <w:bottom w:val="single" w:color="a15c07" w:sz="4"/>
          <w:right w:val="single" w:color="a15c07" w:sz="4"/>
          <w:insideH w:val="single" w:color="auto" w:sz="4"/>
          <w:insideV w:val="single" w:color="auto" w:sz="4"/>
        </w:tblBorders>
      </w:tblPr>
      <w:tblGrid>
        <w:gridCol w:w="9936"/>
      </w:tblGrid>
      <w:tr>
        <w:tc>
          <w:tcPr>
            <w:tcW w:type="dxa" w:w="9936"/>
            <w:shd w:fill="fdf1e0" w:val="clear"/>
            <w:tcMar>
              <w:top w:type="dxa" w:w="140"/>
              <w:left w:type="dxa" w:w="220"/>
              <w:bottom w:type="dxa" w:w="140"/>
              <w:right w:type="dxa" w:w="220"/>
            </w:tcMar>
          </w:tcPr>
          <w:p>
            <w:r>
              <w:rPr>
                <w:b/>
                <w:bCs/>
                <w:color w:val="a15c07"/>
                <w:sz w:val="20"/>
                <w:szCs w:val="20"/>
              </w:rPr>
              <w:t xml:space="preserve">RCT DIRETO SÓ PARA FITA DE FIXAÇÃO ESTRUTURAL — controle de edema é extrapolado</w:t>
            </w:r>
          </w:p>
        </w:tc>
      </w:tr>
    </w:tbl>
    <w:p>
      <w:pPr>
        <w:spacing w:after="160"/>
      </w:pPr>
    </w:p>
    <w:p>
      <w:pPr>
        <w:spacing w:after="160"/>
      </w:pPr>
      <w:r>
        <w:rPr>
          <w:i/>
          <w:iCs/>
          <w:color w:val="1f2a37"/>
          <w:sz w:val="19"/>
          <w:szCs w:val="19"/>
        </w:rPr>
        <w:t xml:space="preserve">Atenção: existem 2 fitas diferentes nesse procedimento. A fita de fixação estrutural (mesh, ancorada no vértex com grampos, retirada em 7–10 dias) tem função de sustentação — RCT direto (Haddady-Abianeh et al., 2026). Os passos abaixo são para a bandagem elástica de controle de edema, um uso diferente e extrapolado.</w:t>
      </w: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490f" w:val="clear"/>
            <w:tcMar>
              <w:top w:type="dxa" w:w="160"/>
              <w:left w:type="dxa" w:w="0"/>
              <w:bottom w:type="dxa" w:w="160"/>
              <w:right w:type="dxa" w:w="0"/>
            </w:tcMar>
            <w:vAlign w:val="center"/>
          </w:tcPr>
          <w:p>
            <w:pPr>
              <w:jc w:val="center"/>
            </w:pPr>
            <w:r>
              <w:rPr>
                <w:b/>
                <w:bCs/>
                <w:color w:val="FFFFFF"/>
                <w:sz w:val="36"/>
                <w:szCs w:val="36"/>
              </w:rPr>
              <w:t xml:space="preserve">1</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Ancore na região temporal</w:t>
            </w:r>
          </w:p>
          <w:p>
            <w:pPr>
              <w:spacing w:after="60"/>
            </w:pPr>
            <w:r>
              <w:rPr>
                <w:color w:val="1f2a37"/>
                <w:sz w:val="20"/>
                <w:szCs w:val="20"/>
              </w:rPr>
              <w:t xml:space="preserve">Base sem tensão na região temporal/pré-auricular (mesma lógica do Capítulo 2).</w:t>
            </w:r>
          </w:p>
          <w:p>
            <w:pPr>
              <w:spacing w:after="0" w:before="40"/>
            </w:pPr>
            <w:r>
              <w:rPr>
                <w:b/>
                <w:bCs/>
                <w:color w:val="5b7fb5"/>
                <w:sz w:val="18"/>
                <w:szCs w:val="18"/>
              </w:rPr>
              <w:t xml:space="preserve">TENSÃO DA BASE: 0%</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490f" w:val="clear"/>
            <w:tcMar>
              <w:top w:type="dxa" w:w="160"/>
              <w:left w:type="dxa" w:w="0"/>
              <w:bottom w:type="dxa" w:w="160"/>
              <w:right w:type="dxa" w:w="0"/>
            </w:tcMar>
            <w:vAlign w:val="center"/>
          </w:tcPr>
          <w:p>
            <w:pPr>
              <w:jc w:val="center"/>
            </w:pPr>
            <w:r>
              <w:rPr>
                <w:b/>
                <w:bCs/>
                <w:color w:val="FFFFFF"/>
                <w:sz w:val="36"/>
                <w:szCs w:val="36"/>
              </w:rPr>
              <w:t xml:space="preserve">2</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Cubra a região frontal lateral</w:t>
            </w:r>
          </w:p>
          <w:p>
            <w:pPr>
              <w:spacing w:after="0"/>
            </w:pPr>
            <w:r>
              <w:rPr>
                <w:color w:val="1f2a37"/>
                <w:sz w:val="20"/>
                <w:szCs w:val="20"/>
              </w:rPr>
              <w:t xml:space="preserve">Tiras finas em leque cobrindo a fronte lateral e a cauda da sobrancelha.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490f" w:val="clear"/>
            <w:tcMar>
              <w:top w:type="dxa" w:w="160"/>
              <w:left w:type="dxa" w:w="0"/>
              <w:bottom w:type="dxa" w:w="160"/>
              <w:right w:type="dxa" w:w="0"/>
            </w:tcMar>
            <w:vAlign w:val="center"/>
          </w:tcPr>
          <w:p>
            <w:pPr>
              <w:jc w:val="center"/>
            </w:pPr>
            <w:r>
              <w:rPr>
                <w:b/>
                <w:bCs/>
                <w:color w:val="FFFFFF"/>
                <w:sz w:val="36"/>
                <w:szCs w:val="36"/>
              </w:rPr>
              <w:t xml:space="preserve">3</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Direcione para a âncora</w:t>
            </w:r>
          </w:p>
          <w:p>
            <w:pPr>
              <w:spacing w:after="60"/>
            </w:pPr>
            <w:r>
              <w:rPr>
                <w:color w:val="1f2a37"/>
                <w:sz w:val="20"/>
                <w:szCs w:val="20"/>
              </w:rPr>
              <w:t xml:space="preserve">Tração da linha média da fronte em direção à âncora temporal.</w:t>
            </w:r>
          </w:p>
          <w:p>
            <w:pPr>
              <w:spacing w:after="0" w:before="40"/>
            </w:pPr>
            <w:r>
              <w:rPr>
                <w:b/>
                <w:bCs/>
                <w:color w:val="5b7fb5"/>
                <w:sz w:val="18"/>
                <w:szCs w:val="18"/>
              </w:rPr>
              <w:t xml:space="preserve">TENSÃO: 10–20%</w:t>
            </w:r>
            <w:r>
              <w:rPr>
                <w:sz w:val="18"/>
                <w:szCs w:val="18"/>
              </w:rPr>
              <w:t xml:space="preserve">    </w:t>
            </w:r>
            <w:r>
              <w:rPr>
                <w:b/>
                <w:bCs/>
                <w:color w:val="3f6b57"/>
                <w:sz w:val="18"/>
                <w:szCs w:val="18"/>
              </w:rPr>
              <w:t xml:space="preserve">DIREÇÃO: fronte → têmpora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490f" w:val="clear"/>
            <w:tcMar>
              <w:top w:type="dxa" w:w="160"/>
              <w:left w:type="dxa" w:w="0"/>
              <w:bottom w:type="dxa" w:w="160"/>
              <w:right w:type="dxa" w:w="0"/>
            </w:tcMar>
            <w:vAlign w:val="center"/>
          </w:tcPr>
          <w:p>
            <w:pPr>
              <w:jc w:val="center"/>
            </w:pPr>
            <w:r>
              <w:rPr>
                <w:b/>
                <w:bCs/>
                <w:color w:val="FFFFFF"/>
                <w:sz w:val="36"/>
                <w:szCs w:val="36"/>
              </w:rPr>
              <w:t xml:space="preserve">4</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Não sobreponha à fita estrutural</w:t>
            </w:r>
          </w:p>
          <w:p>
            <w:pPr>
              <w:spacing w:after="0"/>
            </w:pPr>
            <w:r>
              <w:rPr>
                <w:color w:val="1f2a37"/>
                <w:sz w:val="20"/>
                <w:szCs w:val="20"/>
              </w:rPr>
              <w:t xml:space="preserve">Se a fita de fixação estrutural (mesh) ainda estiver em uso, aplique a bandagem antiedema em plano e momento distintos, sob orientação do cirurgião.</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490f" w:val="clear"/>
            <w:tcMar>
              <w:top w:type="dxa" w:w="160"/>
              <w:left w:type="dxa" w:w="0"/>
              <w:bottom w:type="dxa" w:w="160"/>
              <w:right w:type="dxa" w:w="0"/>
            </w:tcMar>
            <w:vAlign w:val="center"/>
          </w:tcPr>
          <w:p>
            <w:pPr>
              <w:jc w:val="center"/>
            </w:pPr>
            <w:r>
              <w:rPr>
                <w:b/>
                <w:bCs/>
                <w:color w:val="FFFFFF"/>
                <w:sz w:val="36"/>
                <w:szCs w:val="36"/>
              </w:rPr>
              <w:t xml:space="preserve">5</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Mantenha</w:t>
            </w:r>
          </w:p>
          <w:p>
            <w:pPr>
              <w:spacing w:after="60"/>
            </w:pPr>
            <w:r>
              <w:rPr>
                <w:color w:val="1f2a37"/>
                <w:sz w:val="20"/>
                <w:szCs w:val="20"/>
              </w:rPr>
              <w:t xml:space="preserve">Componente de edema: ~5 dias. A fita de fixação estrutural segue cronograma próprio (7–10 dias).</w:t>
            </w:r>
          </w:p>
          <w:p>
            <w:pPr>
              <w:spacing w:after="0" w:before="40"/>
            </w:pPr>
            <w:r>
              <w:rPr>
                <w:b/>
                <w:bCs/>
                <w:color w:val="3f6b57"/>
                <w:sz w:val="18"/>
                <w:szCs w:val="18"/>
              </w:rPr>
              <w:t xml:space="preserve">DURAÇÃO EDEMA: ~5 dias</w:t>
            </w:r>
            <w:r>
              <w:rPr>
                <w:sz w:val="18"/>
                <w:szCs w:val="18"/>
              </w:rPr>
              <w:t xml:space="preserve">    </w:t>
            </w:r>
            <w:r>
              <w:rPr>
                <w:b/>
                <w:bCs/>
                <w:color w:val="3f6b57"/>
                <w:sz w:val="18"/>
                <w:szCs w:val="18"/>
              </w:rPr>
              <w:t xml:space="preserve">DURAÇÃO FIXAÇÃO: 7–10 dias</w:t>
            </w:r>
          </w:p>
        </w:tc>
      </w:tr>
    </w:tbl>
    <w:p>
      <w:pPr>
        <w:spacing w:after="80"/>
      </w:pP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color w:val="5b6472"/>
          <w:sz w:val="17"/>
          <w:szCs w:val="17"/>
        </w:rPr>
        <w:t xml:space="preserve">Ilustração de apoio (uso pessoal) — não é uma fotografia de aplicação real documentada.</w:t>
      </w:r>
    </w:p>
    <w:p>
      <w:pPr>
        <w:pStyle w:val="Heading1"/>
        <w:pageBreakBefore/>
        <w:spacing w:after="160" w:before="0"/>
      </w:pPr>
      <w:r>
        <w:t xml:space="preserve">4. Procedimentos adicionais (uso pessoal)</w:t>
      </w:r>
    </w:p>
    <w:p>
      <w:pPr>
        <w:spacing w:after="200"/>
      </w:pPr>
      <w:r>
        <w:rPr>
          <w:i/>
          <w:iCs/>
          <w:color w:val="5b6472"/>
          <w:sz w:val="19"/>
          <w:szCs w:val="19"/>
        </w:rPr>
        <w:t xml:space="preserve">Fora do escopo original deste guia (blefaroplastia, ritidoplastia, têmporas e sobrancelha). Incluídos a pedido, com o mesmo cuidado de citar a fonte real onde ela existe.</w:t>
      </w:r>
    </w:p>
    <w:p>
      <w:pPr>
        <w:spacing w:after="120" w:before="260"/>
      </w:pPr>
      <w:r>
        <w:rPr>
          <w:b/>
          <w:bCs/>
          <w:color w:val="3f6b57"/>
          <w:sz w:val="24"/>
          <w:szCs w:val="24"/>
        </w:rPr>
        <w:t xml:space="preserve">Rinoplastia</w:t>
      </w:r>
    </w:p>
    <w:tbl>
      <w:tblPr>
        <w:tblW w:type="dxa" w:w="9936"/>
        <w:tblBorders>
          <w:top w:val="single" w:color="1e6b45" w:sz="4"/>
          <w:left w:val="single" w:color="1e6b45" w:sz="4"/>
          <w:bottom w:val="single" w:color="1e6b45" w:sz="4"/>
          <w:right w:val="single" w:color="1e6b45" w:sz="4"/>
          <w:insideH w:val="single" w:color="auto" w:sz="4"/>
          <w:insideV w:val="single" w:color="auto" w:sz="4"/>
        </w:tblBorders>
      </w:tblPr>
      <w:tblGrid>
        <w:gridCol w:w="9936"/>
      </w:tblGrid>
      <w:tr>
        <w:tc>
          <w:tcPr>
            <w:tcW w:type="dxa" w:w="9936"/>
            <w:shd w:fill="e7f3ec" w:val="clear"/>
            <w:tcMar>
              <w:top w:type="dxa" w:w="140"/>
              <w:left w:type="dxa" w:w="220"/>
              <w:bottom w:type="dxa" w:w="140"/>
              <w:right w:type="dxa" w:w="220"/>
            </w:tcMar>
          </w:tcPr>
          <w:p>
            <w:r>
              <w:rPr>
                <w:b/>
                <w:bCs/>
                <w:color w:val="1e6b45"/>
                <w:sz w:val="20"/>
                <w:szCs w:val="20"/>
              </w:rPr>
              <w:t xml:space="preserve">EVIDÊNCIA DIRETA (RCT) — efeito depende do tipo de pele</w:t>
            </w:r>
          </w:p>
        </w:tc>
      </w:tr>
    </w:tbl>
    <w:p>
      <w:pPr>
        <w:spacing w:after="120"/>
      </w:pPr>
    </w:p>
    <w:p>
      <w:pPr>
        <w:spacing w:after="140"/>
      </w:pPr>
      <w:r>
        <w:rPr>
          <w:color w:val="1f2a37"/>
          <w:sz w:val="19"/>
          <w:szCs w:val="19"/>
        </w:rPr>
        <w:t xml:space="preserve">Ozucer et al. (2016, JAMA Facial Plastic Surgery, n=57) compararam grupo controle a bandagem por 2 e por 4 semanas após rinoplastia. A bandagem reduziu significativamente a espessura da pele nasal e da região do ríntio em pacientes de pele espessa; em pele fina e na ponta nasal o efeito não foi significativo [7]. O artigo não detalha largura/tensão exatas da fita — a aplicação segue, em geral, tiras estreitas ao longo do dorso nasal, conforme orientação do cirurgião.</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color w:val="5b6472"/>
          <w:sz w:val="17"/>
          <w:szCs w:val="17"/>
        </w:rPr>
        <w:t xml:space="preserve">Ilustração de apoio (uso pessoal) — não reproduz o protocolo exato do estudo, que não detalha corte/tensão da fita.</w:t>
      </w:r>
    </w:p>
    <w:p>
      <w:pPr>
        <w:spacing w:after="120" w:before="260"/>
      </w:pPr>
      <w:r>
        <w:rPr>
          <w:b/>
          <w:bCs/>
          <w:color w:val="3f6b57"/>
          <w:sz w:val="24"/>
          <w:szCs w:val="24"/>
        </w:rPr>
        <w:t xml:space="preserve">Bichectomia</w:t>
      </w:r>
    </w:p>
    <w:tbl>
      <w:tblPr>
        <w:tblW w:type="dxa" w:w="9936"/>
        <w:tblBorders>
          <w:top w:val="single" w:color="1e6b45" w:sz="4"/>
          <w:left w:val="single" w:color="1e6b45" w:sz="4"/>
          <w:bottom w:val="single" w:color="1e6b45" w:sz="4"/>
          <w:right w:val="single" w:color="1e6b45" w:sz="4"/>
          <w:insideH w:val="single" w:color="auto" w:sz="4"/>
          <w:insideV w:val="single" w:color="auto" w:sz="4"/>
        </w:tblBorders>
      </w:tblPr>
      <w:tblGrid>
        <w:gridCol w:w="9936"/>
      </w:tblGrid>
      <w:tr>
        <w:tc>
          <w:tcPr>
            <w:tcW w:type="dxa" w:w="9936"/>
            <w:shd w:fill="e7f3ec" w:val="clear"/>
            <w:tcMar>
              <w:top w:type="dxa" w:w="140"/>
              <w:left w:type="dxa" w:w="220"/>
              <w:bottom w:type="dxa" w:w="140"/>
              <w:right w:type="dxa" w:w="220"/>
            </w:tcMar>
          </w:tcPr>
          <w:p>
            <w:r>
              <w:rPr>
                <w:b/>
                <w:bCs/>
                <w:color w:val="1e6b45"/>
                <w:sz w:val="20"/>
                <w:szCs w:val="20"/>
              </w:rPr>
              <w:t xml:space="preserve">EVIDÊNCIA DIRETA (RCT) — protocolo detalhado publicado</w:t>
            </w:r>
          </w:p>
        </w:tc>
      </w:tr>
    </w:tbl>
    <w:p>
      <w:pPr>
        <w:spacing w:after="12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6b4fa0" w:val="clear"/>
            <w:tcMar>
              <w:top w:type="dxa" w:w="160"/>
              <w:left w:type="dxa" w:w="0"/>
              <w:bottom w:type="dxa" w:w="160"/>
              <w:right w:type="dxa" w:w="0"/>
            </w:tcMar>
            <w:vAlign w:val="center"/>
          </w:tcPr>
          <w:p>
            <w:pPr>
              <w:jc w:val="center"/>
            </w:pPr>
            <w:r>
              <w:rPr>
                <w:b/>
                <w:bCs/>
                <w:color w:val="FFFFFF"/>
                <w:sz w:val="36"/>
                <w:szCs w:val="36"/>
              </w:rPr>
              <w:t xml:space="preserve">1</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Marque 3 pontos</w:t>
            </w:r>
          </w:p>
          <w:p>
            <w:pPr>
              <w:spacing w:after="0"/>
            </w:pPr>
            <w:r>
              <w:rPr>
                <w:color w:val="1f2a37"/>
                <w:sz w:val="20"/>
                <w:szCs w:val="20"/>
              </w:rPr>
              <w:t xml:space="preserve">Ponto A no trago, ponto B na comissura labial, ponto C na protuberância mentual (linha média), com o paciente em posição relaxada.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6b4fa0" w:val="clear"/>
            <w:tcMar>
              <w:top w:type="dxa" w:w="160"/>
              <w:left w:type="dxa" w:w="0"/>
              <w:bottom w:type="dxa" w:w="160"/>
              <w:right w:type="dxa" w:w="0"/>
            </w:tcMar>
            <w:vAlign w:val="center"/>
          </w:tcPr>
          <w:p>
            <w:pPr>
              <w:jc w:val="center"/>
            </w:pPr>
            <w:r>
              <w:rPr>
                <w:b/>
                <w:bCs/>
                <w:color w:val="FFFFFF"/>
                <w:sz w:val="36"/>
                <w:szCs w:val="36"/>
              </w:rPr>
              <w:t xml:space="preserve">2</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Corte 2 tiras individualizadas</w:t>
            </w:r>
          </w:p>
          <w:p>
            <w:pPr>
              <w:spacing w:after="0"/>
            </w:pPr>
            <w:r>
              <w:rPr>
                <w:color w:val="1f2a37"/>
                <w:sz w:val="20"/>
                <w:szCs w:val="20"/>
              </w:rPr>
              <w:t xml:space="preserve">Comprimento baseado nas distâncias A–B e A–C, com redução de 20% em relação à medida real. Largura de 3 cm para as duas tiras, pontas arredondadas.</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6b4fa0" w:val="clear"/>
            <w:tcMar>
              <w:top w:type="dxa" w:w="160"/>
              <w:left w:type="dxa" w:w="0"/>
              <w:bottom w:type="dxa" w:w="160"/>
              <w:right w:type="dxa" w:w="0"/>
            </w:tcMar>
            <w:vAlign w:val="center"/>
          </w:tcPr>
          <w:p>
            <w:pPr>
              <w:jc w:val="center"/>
            </w:pPr>
            <w:r>
              <w:rPr>
                <w:b/>
                <w:bCs/>
                <w:color w:val="FFFFFF"/>
                <w:sz w:val="36"/>
                <w:szCs w:val="36"/>
              </w:rPr>
              <w:t xml:space="preserve">3</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Aplique a primeira tira (A→B)</w:t>
            </w:r>
          </w:p>
          <w:p>
            <w:pPr>
              <w:spacing w:after="0"/>
            </w:pPr>
            <w:r>
              <w:rPr>
                <w:color w:val="1f2a37"/>
                <w:sz w:val="20"/>
                <w:szCs w:val="20"/>
              </w:rPr>
              <w:t xml:space="preserve">Leve tensão, unindo o ponto A ao ponto B.</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6b4fa0" w:val="clear"/>
            <w:tcMar>
              <w:top w:type="dxa" w:w="160"/>
              <w:left w:type="dxa" w:w="0"/>
              <w:bottom w:type="dxa" w:w="160"/>
              <w:right w:type="dxa" w:w="0"/>
            </w:tcMar>
            <w:vAlign w:val="center"/>
          </w:tcPr>
          <w:p>
            <w:pPr>
              <w:jc w:val="center"/>
            </w:pPr>
            <w:r>
              <w:rPr>
                <w:b/>
                <w:bCs/>
                <w:color w:val="FFFFFF"/>
                <w:sz w:val="36"/>
                <w:szCs w:val="36"/>
              </w:rPr>
              <w:t xml:space="preserve">4</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Aplique a segunda tira (A→C)</w:t>
            </w:r>
          </w:p>
          <w:p>
            <w:pPr>
              <w:spacing w:after="0"/>
            </w:pPr>
            <w:r>
              <w:rPr>
                <w:color w:val="1f2a37"/>
                <w:sz w:val="20"/>
                <w:szCs w:val="20"/>
              </w:rPr>
              <w:t xml:space="preserve">Une o ponto A ao ponto C; a borda que sai do ponto A fica imediatamente abaixo da primeira tira.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6b4fa0" w:val="clear"/>
            <w:tcMar>
              <w:top w:type="dxa" w:w="160"/>
              <w:left w:type="dxa" w:w="0"/>
              <w:bottom w:type="dxa" w:w="160"/>
              <w:right w:type="dxa" w:w="0"/>
            </w:tcMar>
            <w:vAlign w:val="center"/>
          </w:tcPr>
          <w:p>
            <w:pPr>
              <w:jc w:val="center"/>
            </w:pPr>
            <w:r>
              <w:rPr>
                <w:b/>
                <w:bCs/>
                <w:color w:val="FFFFFF"/>
                <w:sz w:val="36"/>
                <w:szCs w:val="36"/>
              </w:rPr>
              <w:t xml:space="preserve">5</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Mantenha</w:t>
            </w:r>
          </w:p>
          <w:p>
            <w:pPr>
              <w:spacing w:after="60"/>
            </w:pPr>
            <w:r>
              <w:rPr>
                <w:color w:val="1f2a37"/>
                <w:sz w:val="20"/>
                <w:szCs w:val="20"/>
              </w:rPr>
              <w:t xml:space="preserve">Aplicação extraoral, sobre pele limpa com gel facial. Não aplicar sobre pele irritada nem próximo à ferida intraoral.</w:t>
            </w:r>
          </w:p>
          <w:p>
            <w:pPr>
              <w:spacing w:after="0" w:before="40"/>
            </w:pPr>
            <w:r>
              <w:rPr>
                <w:b/>
                <w:bCs/>
                <w:color w:val="3f6b57"/>
                <w:sz w:val="18"/>
                <w:szCs w:val="18"/>
              </w:rPr>
              <w:t xml:space="preserve">DURAÇÃO: conforme protocolo do estudo (2 dias)</w:t>
            </w:r>
          </w:p>
        </w:tc>
      </w:tr>
    </w:tbl>
    <w:p>
      <w:pPr>
        <w:spacing w:after="100"/>
      </w:pPr>
    </w:p>
    <w:p>
      <w:pPr>
        <w:spacing w:after="140"/>
      </w:pPr>
      <w:r>
        <w:rPr>
          <w:i/>
          <w:iCs/>
          <w:color w:val="5b6472"/>
          <w:sz w:val="18"/>
          <w:szCs w:val="18"/>
        </w:rPr>
        <w:t xml:space="preserve">Protocolo técnico de Pelissaro et al. (2021), Research, Society and Development — estudo split-mouth randomizado e duplo-cego, com redução de edema no grupo com kinesio tape [8].</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color w:val="5b6472"/>
          <w:sz w:val="17"/>
          <w:szCs w:val="17"/>
        </w:rPr>
        <w:t xml:space="preserve">Ilustração de apoio (uso pessoal) — não é uma fotografia do estudo original.</w:t>
      </w:r>
    </w:p>
    <w:p>
      <w:pPr>
        <w:spacing w:after="120" w:before="260"/>
      </w:pPr>
      <w:r>
        <w:rPr>
          <w:b/>
          <w:bCs/>
          <w:color w:val="3f6b57"/>
          <w:sz w:val="24"/>
          <w:szCs w:val="24"/>
        </w:rPr>
        <w:t xml:space="preserve">Platismoplastia / Neck Lift</w:t>
      </w:r>
    </w:p>
    <w:tbl>
      <w:tblPr>
        <w:tblW w:type="dxa" w:w="9936"/>
        <w:tblBorders>
          <w:top w:val="single" w:color="a15c07" w:sz="4"/>
          <w:left w:val="single" w:color="a15c07" w:sz="4"/>
          <w:bottom w:val="single" w:color="a15c07" w:sz="4"/>
          <w:right w:val="single" w:color="a15c07" w:sz="4"/>
          <w:insideH w:val="single" w:color="auto" w:sz="4"/>
          <w:insideV w:val="single" w:color="auto" w:sz="4"/>
        </w:tblBorders>
      </w:tblPr>
      <w:tblGrid>
        <w:gridCol w:w="9936"/>
      </w:tblGrid>
      <w:tr>
        <w:tc>
          <w:tcPr>
            <w:tcW w:type="dxa" w:w="9936"/>
            <w:shd w:fill="fdf1e0" w:val="clear"/>
            <w:tcMar>
              <w:top w:type="dxa" w:w="140"/>
              <w:left w:type="dxa" w:w="220"/>
              <w:bottom w:type="dxa" w:w="140"/>
              <w:right w:type="dxa" w:w="220"/>
            </w:tcMar>
          </w:tcPr>
          <w:p>
            <w:r>
              <w:rPr>
                <w:b/>
                <w:bCs/>
                <w:color w:val="a15c07"/>
                <w:sz w:val="20"/>
                <w:szCs w:val="20"/>
              </w:rPr>
              <w:t xml:space="preserve">SEM ESTUDO CONTROLADO DIRETO — protocolo extrapolado</w:t>
            </w:r>
          </w:p>
        </w:tc>
      </w:tr>
    </w:tbl>
    <w:p>
      <w:pPr>
        <w:spacing w:after="120"/>
      </w:pPr>
    </w:p>
    <w:p>
      <w:pPr>
        <w:spacing w:after="140"/>
      </w:pPr>
      <w:r>
        <w:rPr>
          <w:color w:val="1f2a37"/>
          <w:sz w:val="19"/>
          <w:szCs w:val="19"/>
        </w:rPr>
        <w:t xml:space="preserve">Não foi localizado ensaio clínico controlado sobre kinesio tape em platismoplastia/neck lift. A lógica abaixo extrapola o mesmo racional da ritidoplastia (Capítulo 2): leque submentual e cervical lateral, âncora pré-auricular ou mastóidea, tensão baixa a moderada, aplicação sobre pele íntegra e subordinada ao curativo/retalho definidos pelo cirurgião [1,4,5,6].</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color w:val="5b6472"/>
          <w:sz w:val="17"/>
          <w:szCs w:val="17"/>
        </w:rPr>
        <w:t xml:space="preserve">Ilustração de apoio (uso pessoal) — protocolo extrapolado, sem estudo controlado direto para este procedimento.</w:t>
      </w:r>
    </w:p>
    <w:p>
      <w:pPr>
        <w:pStyle w:val="Heading1"/>
        <w:pageBreakBefore/>
        <w:spacing w:after="160" w:before="0"/>
      </w:pPr>
      <w:r>
        <w:t xml:space="preserve">5. Sinais de alerta — remova a fita imediatamente se houver</w:t>
      </w: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2622" w:val="clear"/>
            <w:tcMar>
              <w:top w:type="dxa" w:w="160"/>
              <w:left w:type="dxa" w:w="0"/>
              <w:bottom w:type="dxa" w:w="160"/>
              <w:right w:type="dxa" w:w="0"/>
            </w:tcMar>
            <w:vAlign w:val="center"/>
          </w:tcPr>
          <w:p>
            <w:pPr>
              <w:jc w:val="center"/>
            </w:pPr>
            <w:r>
              <w:rPr>
                <w:b/>
                <w:bCs/>
                <w:color w:val="FFFFFF"/>
                <w:sz w:val="36"/>
                <w:szCs w:val="36"/>
              </w:rPr>
              <w:t xml:space="preserve">!</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Eritema intenso, prurido ou reação cutânea</w:t>
            </w:r>
          </w:p>
          <w:p>
            <w:pPr>
              <w:spacing w:after="0"/>
            </w:pPr>
            <w:r>
              <w:rPr>
                <w:color w:val="1f2a37"/>
                <w:sz w:val="20"/>
                <w:szCs w:val="20"/>
              </w:rPr>
              <w:t xml:space="preserve">Sob ou ao redor da fita.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2622" w:val="clear"/>
            <w:tcMar>
              <w:top w:type="dxa" w:w="160"/>
              <w:left w:type="dxa" w:w="0"/>
              <w:bottom w:type="dxa" w:w="160"/>
              <w:right w:type="dxa" w:w="0"/>
            </w:tcMar>
            <w:vAlign w:val="center"/>
          </w:tcPr>
          <w:p>
            <w:pPr>
              <w:jc w:val="center"/>
            </w:pPr>
            <w:r>
              <w:rPr>
                <w:b/>
                <w:bCs/>
                <w:color w:val="FFFFFF"/>
                <w:sz w:val="36"/>
                <w:szCs w:val="36"/>
              </w:rPr>
              <w:t xml:space="preserve">!</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Dor desproporcional</w:t>
            </w:r>
          </w:p>
          <w:p>
            <w:pPr>
              <w:spacing w:after="0"/>
            </w:pPr>
            <w:r>
              <w:rPr>
                <w:color w:val="1f2a37"/>
                <w:sz w:val="20"/>
                <w:szCs w:val="20"/>
              </w:rPr>
              <w:t xml:space="preserve">Acima do esperado para o pós-operatório.</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2622" w:val="clear"/>
            <w:tcMar>
              <w:top w:type="dxa" w:w="160"/>
              <w:left w:type="dxa" w:w="0"/>
              <w:bottom w:type="dxa" w:w="160"/>
              <w:right w:type="dxa" w:w="0"/>
            </w:tcMar>
            <w:vAlign w:val="center"/>
          </w:tcPr>
          <w:p>
            <w:pPr>
              <w:jc w:val="center"/>
            </w:pPr>
            <w:r>
              <w:rPr>
                <w:b/>
                <w:bCs/>
                <w:color w:val="FFFFFF"/>
                <w:sz w:val="36"/>
                <w:szCs w:val="36"/>
              </w:rPr>
              <w:t xml:space="preserve">!</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Má perfusão distal</w:t>
            </w:r>
          </w:p>
          <w:p>
            <w:pPr>
              <w:spacing w:after="0"/>
            </w:pPr>
            <w:r>
              <w:rPr>
                <w:color w:val="1f2a37"/>
                <w:sz w:val="20"/>
                <w:szCs w:val="20"/>
              </w:rPr>
              <w:t xml:space="preserve">Palidez ou cianose na área cobertas pela fita — sinal de tensão excessiva.</w:t>
            </w:r>
          </w:p>
        </w:tc>
      </w:tr>
    </w:tbl>
    <w:p>
      <w:pPr>
        <w:spacing w:after="60"/>
      </w:pPr>
    </w:p>
    <w:tbl>
      <w:tblPr>
        <w:tblW w:type="dxa" w:w="9936"/>
        <w:tblBorders>
          <w:top w:val="none"/>
          <w:left w:val="none"/>
          <w:bottom w:val="single" w:color="e3e7ec" w:sz="2"/>
          <w:right w:val="none"/>
          <w:insideH w:val="none"/>
          <w:insideV w:val="none"/>
        </w:tblBorders>
      </w:tblPr>
      <w:tblGrid>
        <w:gridCol w:w="850"/>
        <w:gridCol w:w="9086"/>
      </w:tblGrid>
      <w:tr>
        <w:trPr>
          <w:cantSplit/>
        </w:trPr>
        <w:tc>
          <w:tcPr>
            <w:tcW w:type="dxa" w:w="850"/>
            <w:shd w:fill="a12622" w:val="clear"/>
            <w:tcMar>
              <w:top w:type="dxa" w:w="160"/>
              <w:left w:type="dxa" w:w="0"/>
              <w:bottom w:type="dxa" w:w="160"/>
              <w:right w:type="dxa" w:w="0"/>
            </w:tcMar>
            <w:vAlign w:val="center"/>
          </w:tcPr>
          <w:p>
            <w:pPr>
              <w:jc w:val="center"/>
            </w:pPr>
            <w:r>
              <w:rPr>
                <w:b/>
                <w:bCs/>
                <w:color w:val="FFFFFF"/>
                <w:sz w:val="36"/>
                <w:szCs w:val="36"/>
              </w:rPr>
              <w:t xml:space="preserve">!</w:t>
            </w:r>
          </w:p>
        </w:tc>
        <w:tc>
          <w:tcPr>
            <w:tcW w:type="dxa" w:w="9086"/>
            <w:tcMar>
              <w:top w:type="dxa" w:w="160"/>
              <w:left w:type="dxa" w:w="260"/>
              <w:bottom w:type="dxa" w:w="160"/>
              <w:right w:type="dxa" w:w="160"/>
            </w:tcMar>
            <w:vAlign w:val="center"/>
          </w:tcPr>
          <w:p>
            <w:pPr>
              <w:spacing w:after="60"/>
            </w:pPr>
            <w:r>
              <w:rPr>
                <w:b/>
                <w:bCs/>
                <w:color w:val="1f2a37"/>
                <w:sz w:val="24"/>
                <w:szCs w:val="24"/>
              </w:rPr>
              <w:t xml:space="preserve">Bolhas ou lesão de pele</w:t>
            </w:r>
          </w:p>
          <w:p>
            <w:pPr>
              <w:spacing w:after="0"/>
            </w:pPr>
            <w:r>
              <w:rPr>
                <w:color w:val="1f2a37"/>
                <w:sz w:val="20"/>
                <w:szCs w:val="20"/>
              </w:rPr>
              <w:t xml:space="preserve">Na aplicação ou na retirada da fita.</w:t>
            </w:r>
          </w:p>
        </w:tc>
      </w:tr>
    </w:tbl>
    <w:p>
      <w:pPr>
        <w:spacing w:after="200"/>
      </w:pPr>
    </w:p>
    <w:tbl>
      <w:tblPr>
        <w:tblW w:type="dxa" w:w="9936"/>
        <w:tblBorders>
          <w:top w:val="single" w:color="a12622" w:sz="4"/>
          <w:left w:val="single" w:color="a12622" w:sz="4"/>
          <w:bottom w:val="single" w:color="a12622" w:sz="4"/>
          <w:right w:val="single" w:color="a12622" w:sz="4"/>
          <w:insideH w:val="single" w:color="auto" w:sz="4"/>
          <w:insideV w:val="single" w:color="auto" w:sz="4"/>
        </w:tblBorders>
      </w:tblPr>
      <w:tblGrid>
        <w:gridCol w:w="9936"/>
      </w:tblGrid>
      <w:tr>
        <w:tc>
          <w:tcPr>
            <w:tcW w:type="dxa" w:w="9936"/>
            <w:shd w:fill="fdecea" w:val="clear"/>
            <w:tcMar>
              <w:top w:type="dxa" w:w="140"/>
              <w:left w:type="dxa" w:w="220"/>
              <w:bottom w:type="dxa" w:w="140"/>
              <w:right w:type="dxa" w:w="220"/>
            </w:tcMar>
          </w:tcPr>
          <w:p>
            <w:r>
              <w:rPr>
                <w:b/>
                <w:bCs/>
                <w:color w:val="a12622"/>
                <w:sz w:val="20"/>
                <w:szCs w:val="20"/>
              </w:rPr>
              <w:t xml:space="preserve">Nunca aplique fita sobre a linha de sutura/incisão, em pele com infecção ativa, ou sobre áreas com viabilidade de retalho questionável.</w:t>
            </w:r>
          </w:p>
        </w:tc>
      </w:tr>
    </w:tbl>
    <w:p>
      <w:pPr>
        <w:spacing w:after="200"/>
      </w:pPr>
    </w:p>
    <w:p>
      <w:pPr>
        <w:spacing w:after="100"/>
      </w:pPr>
      <w:r>
        <w:rPr>
          <w:i/>
          <w:iCs/>
          <w:color w:val="5b6472"/>
          <w:sz w:val="18"/>
          <w:szCs w:val="18"/>
        </w:rPr>
        <w:t xml:space="preserve">Este guia é um resumo visual do manual completo (com toda a base científica, tabelas de evidência e referências) — consulte-o para o detalhamento e as citações completas.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4b2"/>
        <w:sz w:val="16"/>
        <w:szCs w:val="16"/>
      </w:rPr>
      <w:t xml:space="preserve">Guia Visual — Bandagem Elástica em Cirurgias Faciais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f6b57" w:sz="8" w:space="6"/>
      </w:pBdr>
      <w:spacing w:after="200" w:before="360"/>
    </w:pPr>
    <w:rPr>
      <w:rFonts w:ascii="Calibri" w:cs="Calibri" w:eastAsia="Calibri" w:hAnsi="Calibri"/>
      <w:b/>
      <w:bCs/>
      <w:color w:val="1f2a3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3be407f3f0798e40dd5bac298bdfd0b9621f58.png"/><Relationship Id="rId10" Type="http://schemas.openxmlformats.org/officeDocument/2006/relationships/image" Target="media/3bddb9454cde55cf92703be9e345ff61a855727d.png"/><Relationship Id="rId11" Type="http://schemas.openxmlformats.org/officeDocument/2006/relationships/image" Target="media/c119c5d301783f6d5e4633a7896e750fa9bf7060.png"/><Relationship Id="rId12" Type="http://schemas.openxmlformats.org/officeDocument/2006/relationships/image" Target="media/7c39cdd45edfaed39aa360fbd77b5b2b55e7500c.png"/><Relationship Id="rId13" Type="http://schemas.openxmlformats.org/officeDocument/2006/relationships/image" Target="media/d3458c362caa918fb36ee42e74eb6ccf0d69493a.png"/><Relationship Id="rId14" Type="http://schemas.openxmlformats.org/officeDocument/2006/relationships/image" Target="media/7c6bf217543f7be93a111c6beaf3bd6cf4b6095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Visual — Passo a Passo da Bandagem Elástica em Cirurgias Faciais</dc:title>
  <dc:creator>Guia Visual Kinesio Taping</dc:creator>
  <cp:lastModifiedBy>Un-named</cp:lastModifiedBy>
  <cp:revision>1</cp:revision>
  <dcterms:created xsi:type="dcterms:W3CDTF">2026-09-09T00:04:50.338Z</dcterms:created>
  <dcterms:modified xsi:type="dcterms:W3CDTF">2026-09-09T00:04:50.339Z</dcterms:modified>
</cp:coreProperties>
</file>

<file path=docProps/custom.xml><?xml version="1.0" encoding="utf-8"?>
<Properties xmlns="http://schemas.openxmlformats.org/officeDocument/2006/custom-properties" xmlns:vt="http://schemas.openxmlformats.org/officeDocument/2006/docPropsVTypes"/>
</file>