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13D" w:rsidRDefault="00D1413D">
      <w:r w:rsidRPr="00D1413D">
        <w:drawing>
          <wp:anchor distT="0" distB="0" distL="114300" distR="114300" simplePos="0" relativeHeight="251659264" behindDoc="1" locked="0" layoutInCell="1" allowOverlap="1">
            <wp:simplePos x="0" y="0"/>
            <wp:positionH relativeFrom="margin">
              <wp:align>center</wp:align>
            </wp:positionH>
            <wp:positionV relativeFrom="paragraph">
              <wp:posOffset>-755015</wp:posOffset>
            </wp:positionV>
            <wp:extent cx="6728460" cy="14020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44" b="809"/>
                    <a:stretch/>
                  </pic:blipFill>
                  <pic:spPr bwMode="auto">
                    <a:xfrm>
                      <a:off x="0" y="0"/>
                      <a:ext cx="6731083" cy="140262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1413D" w:rsidRPr="00D1413D" w:rsidRDefault="00D1413D" w:rsidP="00D1413D"/>
    <w:p w:rsidR="00D1413D" w:rsidRDefault="00D1413D" w:rsidP="00D1413D"/>
    <w:p w:rsidR="00B259A8" w:rsidRPr="00B259A8" w:rsidRDefault="00B259A8" w:rsidP="00D1413D">
      <w:pPr>
        <w:rPr>
          <w:b/>
        </w:rPr>
      </w:pPr>
      <w:r w:rsidRPr="00B259A8">
        <w:rPr>
          <w:b/>
        </w:rPr>
        <w:t>A PROPOS</w:t>
      </w:r>
    </w:p>
    <w:p w:rsidR="00D1413D" w:rsidRDefault="00D1413D" w:rsidP="00D1413D">
      <w:pPr>
        <w:spacing w:line="360" w:lineRule="auto"/>
        <w:jc w:val="center"/>
        <w:rPr>
          <w:rFonts w:ascii="Times New Roman" w:hAnsi="Times New Roman" w:cs="Times New Roman"/>
          <w:b/>
          <w:sz w:val="28"/>
          <w:szCs w:val="28"/>
        </w:rPr>
      </w:pPr>
      <w:r w:rsidRPr="005068D5">
        <w:rPr>
          <w:rFonts w:ascii="Times New Roman" w:hAnsi="Times New Roman" w:cs="Times New Roman"/>
          <w:b/>
          <w:sz w:val="28"/>
          <w:szCs w:val="28"/>
        </w:rPr>
        <w:t>'' CONCEPTION, INNOVATION, ENTREPRENEURIAT ''</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Si la plupart des Objectifs du Millénaire pour le développemen</w:t>
      </w:r>
      <w:r>
        <w:rPr>
          <w:rFonts w:ascii="Tahoma" w:hAnsi="Tahoma" w:cs="Tahoma"/>
          <w:sz w:val="23"/>
          <w:szCs w:val="23"/>
        </w:rPr>
        <w:t>t ont été fixés à l’horizon 2050</w:t>
      </w:r>
      <w:r w:rsidRPr="005B3371">
        <w:rPr>
          <w:rFonts w:ascii="Tahoma" w:hAnsi="Tahoma" w:cs="Tahoma"/>
          <w:sz w:val="23"/>
          <w:szCs w:val="23"/>
        </w:rPr>
        <w:t xml:space="preserve">, la jeunesse africaine doit jouer un rôle important pour y parvenir. La volonté des chefs d’Etats et de Gouvernements africains de dédier une journée à </w:t>
      </w:r>
      <w:r>
        <w:rPr>
          <w:rFonts w:ascii="Tahoma" w:hAnsi="Tahoma" w:cs="Tahoma"/>
          <w:sz w:val="23"/>
          <w:szCs w:val="23"/>
        </w:rPr>
        <w:t>leur</w:t>
      </w:r>
      <w:r w:rsidRPr="005B3371">
        <w:rPr>
          <w:rFonts w:ascii="Tahoma" w:hAnsi="Tahoma" w:cs="Tahoma"/>
          <w:sz w:val="23"/>
          <w:szCs w:val="23"/>
        </w:rPr>
        <w:t xml:space="preserve"> jeunesse </w:t>
      </w:r>
      <w:r>
        <w:rPr>
          <w:rFonts w:ascii="Tahoma" w:hAnsi="Tahoma" w:cs="Tahoma"/>
          <w:sz w:val="23"/>
          <w:szCs w:val="23"/>
        </w:rPr>
        <w:t>a pour objet</w:t>
      </w:r>
      <w:r w:rsidRPr="005B3371">
        <w:rPr>
          <w:rFonts w:ascii="Tahoma" w:hAnsi="Tahoma" w:cs="Tahoma"/>
          <w:sz w:val="23"/>
          <w:szCs w:val="23"/>
        </w:rPr>
        <w:t xml:space="preserve"> de mettre en évidence les potentialités de la jeunesse africaine ; de célébrer sa contribution au développement ; de renforcer la solidarité et l’implication des jeunes dans les actions de promotion de la stabilité de la paix et du développement durable.</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A cet effet,</w:t>
      </w:r>
      <w:r>
        <w:rPr>
          <w:rFonts w:ascii="Tahoma" w:hAnsi="Tahoma" w:cs="Tahoma"/>
          <w:sz w:val="23"/>
          <w:szCs w:val="23"/>
        </w:rPr>
        <w:t xml:space="preserve"> </w:t>
      </w:r>
      <w:r w:rsidRPr="005B3371">
        <w:rPr>
          <w:rFonts w:ascii="Tahoma" w:hAnsi="Tahoma" w:cs="Tahoma"/>
          <w:sz w:val="23"/>
          <w:szCs w:val="23"/>
        </w:rPr>
        <w:t xml:space="preserve">l'engagement et l'implication effectifs des jeunes pour le développement commencent par une préparation, une éducation, des compétences et une formation adéquates pour passer à l’action. </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 xml:space="preserve">Au Cameroun, les actions sont entreprises par le Gouvernement à l’effet de promouvoir non seulement l’implication des jeunes au développement socioéconomique de la Nation dans le respect de leurs devoirs civiques, mais également leur participation active à la prise de décision, conformément aux prescriptions de la Charte Africaine de la Jeunesse. </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Au plan politique, une volonté de consolider le processus démocratique et l’Etat de droit est mise en branle. Les jeunes sont fortement impliqués au processus de prise de décisions.</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 xml:space="preserve">Au plan macro-économique, tout en assainissant les mœurs, fondement d’une prospérité durable, les bases d’une croissance forte sont jetées. Plusieurs emplois se sont créés avec le début des travaux des grands projets structurants. </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 xml:space="preserve">Au plan social, le Chef de l’Etat appelle à une solidarité nationale et à une mobilisation tout azimut pour vaincre la secte islamique Boko Haram qui menace la paix et la stabilité de notre pays. </w:t>
      </w:r>
    </w:p>
    <w:p w:rsidR="00B259A8" w:rsidRPr="005B3371" w:rsidRDefault="00B259A8" w:rsidP="00B259A8">
      <w:pPr>
        <w:ind w:firstLine="708"/>
        <w:jc w:val="both"/>
        <w:rPr>
          <w:rFonts w:ascii="Tahoma" w:hAnsi="Tahoma" w:cs="Tahoma"/>
          <w:sz w:val="23"/>
          <w:szCs w:val="23"/>
        </w:rPr>
      </w:pPr>
      <w:r w:rsidRPr="005B3371">
        <w:rPr>
          <w:rFonts w:ascii="Tahoma" w:hAnsi="Tahoma" w:cs="Tahoma"/>
          <w:sz w:val="23"/>
          <w:szCs w:val="23"/>
        </w:rPr>
        <w:t>En ce qui concerne la Jeunesse, le démarrage effectif des activités de l’Agence du Service Civique National de Participation au Développement a permis de former les Appelés pendant les vacances scolaires.</w:t>
      </w:r>
      <w:r>
        <w:rPr>
          <w:rFonts w:ascii="Tahoma" w:hAnsi="Tahoma" w:cs="Tahoma"/>
          <w:sz w:val="23"/>
          <w:szCs w:val="23"/>
        </w:rPr>
        <w:t xml:space="preserve"> </w:t>
      </w:r>
      <w:r w:rsidRPr="005B3371">
        <w:rPr>
          <w:rFonts w:ascii="Tahoma" w:hAnsi="Tahoma" w:cs="Tahoma"/>
          <w:sz w:val="23"/>
          <w:szCs w:val="23"/>
        </w:rPr>
        <w:t>En outre, avec le renouvellement des organes dirigeants du Conseil National de la Jeunesse du Cameroun, une bonne frange de la population jeune</w:t>
      </w:r>
      <w:r>
        <w:rPr>
          <w:rFonts w:ascii="Tahoma" w:hAnsi="Tahoma" w:cs="Tahoma"/>
          <w:sz w:val="23"/>
          <w:szCs w:val="23"/>
        </w:rPr>
        <w:t xml:space="preserve"> </w:t>
      </w:r>
      <w:r w:rsidRPr="005B3371">
        <w:rPr>
          <w:rFonts w:ascii="Tahoma" w:hAnsi="Tahoma" w:cs="Tahoma"/>
          <w:sz w:val="23"/>
          <w:szCs w:val="23"/>
        </w:rPr>
        <w:t>sera encadrée et accompagnée pour une meilleure implication au processus de développement et à l’avènement de la République Exemplaire catalyseur d’un développement durable.</w:t>
      </w:r>
    </w:p>
    <w:p w:rsidR="00B259A8" w:rsidRPr="005068D5" w:rsidRDefault="00B259A8" w:rsidP="00D1413D">
      <w:pPr>
        <w:spacing w:line="360" w:lineRule="auto"/>
        <w:jc w:val="center"/>
        <w:rPr>
          <w:rFonts w:ascii="Times New Roman" w:hAnsi="Times New Roman" w:cs="Times New Roman"/>
          <w:b/>
          <w:sz w:val="28"/>
          <w:szCs w:val="28"/>
        </w:rPr>
      </w:pPr>
    </w:p>
    <w:p w:rsidR="00B259A8" w:rsidRPr="00B259A8" w:rsidRDefault="00D1413D" w:rsidP="00D1413D">
      <w:pPr>
        <w:spacing w:line="360" w:lineRule="auto"/>
        <w:ind w:left="270"/>
        <w:jc w:val="both"/>
        <w:rPr>
          <w:rFonts w:ascii="Century Gothic" w:hAnsi="Century Gothic" w:cs="Times New Roman"/>
          <w:sz w:val="28"/>
          <w:szCs w:val="28"/>
        </w:rPr>
      </w:pPr>
      <w:r w:rsidRPr="00B259A8">
        <w:rPr>
          <w:rFonts w:ascii="Century Gothic" w:hAnsi="Century Gothic" w:cs="Times New Roman"/>
          <w:sz w:val="28"/>
          <w:szCs w:val="28"/>
        </w:rPr>
        <w:t xml:space="preserve">Au Cameroun, l’enseignement général a souvent été décrit comme étant professionnellement inadapté aux exigences du marché de l’emploi. Le gouvernement a introduit un ensemble de mesures pour corriger ce déséquilibre. Depuis la libéralisation économique, les politiques d’enseignement visent à favoriser la synergie entre éducation et formation professionnelle. Pour rendre l’économie plus compétitive, il faudrait que le système éducatif produise suffisamment des diplômés. Son objectif premier doit néanmoins demeurer la réduction des inégalités caractérisant l’enseignement et le marché du travail. Selon une étude réalisée par le ministère de l’enseignement supérieur effectuée en 2000, nous constatons que l’enseignement général comparativement à l’enseignement technique et professionnel semble offrir très peu de formations adéquates aux exigences et besoins professionnels. Globalement la formation générale est très peu valorisée par les entreprises. En effet seul 11% des formations offertes par l’enseignement général sont jugées adaptées par les responsables des entreprises. Même le baccalauréat technique est plus valorisé. C’est la formation technique et professionnelle qui, avec 90% d’approbation, fait le consensus parmi les entreprises. Les compétences prioritaires exigées par les entreprises sont : l’informatique, le management, l’économie, la comptabilité, les finances et l’audiovisuel. Le  présent programme de spécialisation permet de résoudre ces problèmes par le développement d’un nouveau mode de formation permettant d’associer l’enseignement général et </w:t>
      </w:r>
      <w:r w:rsidRPr="00B259A8">
        <w:rPr>
          <w:rFonts w:ascii="Century Gothic" w:hAnsi="Century Gothic" w:cs="Times New Roman"/>
          <w:sz w:val="28"/>
          <w:szCs w:val="28"/>
        </w:rPr>
        <w:lastRenderedPageBreak/>
        <w:t>l’enseignement professionnel et surtout la maîtrise des transferts des compétences d’un domaine à un autre d’où le concept Emploi-Formation-Entrepreneuriat appliqué à ces</w:t>
      </w:r>
      <w:r w:rsidR="00B259A8" w:rsidRPr="00B259A8">
        <w:rPr>
          <w:rFonts w:ascii="Century Gothic" w:hAnsi="Century Gothic" w:cs="Times New Roman"/>
          <w:sz w:val="28"/>
          <w:szCs w:val="28"/>
        </w:rPr>
        <w:t xml:space="preserve"> </w:t>
      </w:r>
      <w:r w:rsidR="00B259A8" w:rsidRPr="00B259A8">
        <w:rPr>
          <w:rFonts w:ascii="Century Gothic" w:hAnsi="Century Gothic" w:cs="Times New Roman"/>
          <w:b/>
          <w:sz w:val="28"/>
          <w:szCs w:val="28"/>
        </w:rPr>
        <w:t xml:space="preserve">Programmes </w:t>
      </w:r>
      <w:r w:rsidR="00B259A8" w:rsidRPr="00B259A8">
        <w:rPr>
          <w:rFonts w:ascii="Century Gothic" w:hAnsi="Century Gothic" w:cs="Times New Roman"/>
          <w:sz w:val="28"/>
          <w:szCs w:val="28"/>
        </w:rPr>
        <w:t xml:space="preserve">qui sont </w:t>
      </w:r>
      <w:r w:rsidR="00B259A8" w:rsidRPr="00B259A8">
        <w:rPr>
          <w:rFonts w:ascii="Century Gothic" w:hAnsi="Century Gothic" w:cs="Times New Roman"/>
          <w:b/>
          <w:sz w:val="28"/>
          <w:szCs w:val="28"/>
        </w:rPr>
        <w:t>sous régionale</w:t>
      </w:r>
      <w:r w:rsidR="00B259A8" w:rsidRPr="00B259A8">
        <w:rPr>
          <w:rFonts w:ascii="Century Gothic" w:hAnsi="Century Gothic" w:cs="Times New Roman"/>
          <w:sz w:val="28"/>
          <w:szCs w:val="28"/>
        </w:rPr>
        <w:t xml:space="preserve"> et voir mem dans l’optique de </w:t>
      </w:r>
      <w:r w:rsidR="00B259A8" w:rsidRPr="00B259A8">
        <w:rPr>
          <w:rFonts w:ascii="Century Gothic" w:hAnsi="Century Gothic" w:cs="Times New Roman"/>
          <w:b/>
          <w:sz w:val="28"/>
          <w:szCs w:val="28"/>
        </w:rPr>
        <w:t>couvrir tout le continent Africain</w:t>
      </w:r>
      <w:r w:rsidRPr="00B259A8">
        <w:rPr>
          <w:rFonts w:ascii="Century Gothic" w:hAnsi="Century Gothic" w:cs="Times New Roman"/>
          <w:sz w:val="28"/>
          <w:szCs w:val="28"/>
        </w:rPr>
        <w:t>.</w:t>
      </w:r>
    </w:p>
    <w:p w:rsidR="00B259A8" w:rsidRDefault="00B259A8" w:rsidP="00D1413D">
      <w:pPr>
        <w:spacing w:line="360" w:lineRule="auto"/>
        <w:ind w:left="270"/>
        <w:jc w:val="both"/>
        <w:rPr>
          <w:rFonts w:ascii="Century Gothic" w:hAnsi="Century Gothic" w:cs="Times New Roman"/>
        </w:rPr>
      </w:pPr>
    </w:p>
    <w:p w:rsidR="00B259A8" w:rsidRDefault="00B259A8" w:rsidP="00D1413D">
      <w:pPr>
        <w:spacing w:line="360" w:lineRule="auto"/>
        <w:ind w:left="270"/>
        <w:jc w:val="both"/>
        <w:rPr>
          <w:rFonts w:ascii="Century Gothic" w:hAnsi="Century Gothic" w:cs="Times New Roman"/>
        </w:rPr>
      </w:pPr>
    </w:p>
    <w:p w:rsidR="00B259A8" w:rsidRPr="00B259A8" w:rsidRDefault="00B259A8" w:rsidP="00B259A8">
      <w:pPr>
        <w:spacing w:line="360" w:lineRule="auto"/>
        <w:ind w:left="270"/>
        <w:jc w:val="center"/>
        <w:rPr>
          <w:rFonts w:ascii="Century Gothic" w:hAnsi="Century Gothic" w:cs="Times New Roman"/>
          <w:b/>
          <w:sz w:val="28"/>
          <w:szCs w:val="28"/>
        </w:rPr>
      </w:pPr>
      <w:r w:rsidRPr="00B259A8">
        <w:rPr>
          <w:rFonts w:ascii="Century Gothic" w:hAnsi="Century Gothic" w:cs="Times New Roman"/>
          <w:b/>
          <w:sz w:val="28"/>
          <w:szCs w:val="28"/>
        </w:rPr>
        <w:t>Nous avons ainsi en termes de PROGRAMMES développés par l’AJEC</w:t>
      </w:r>
    </w:p>
    <w:p w:rsidR="00B259A8" w:rsidRDefault="00B259A8" w:rsidP="00B259A8">
      <w:pPr>
        <w:pStyle w:val="Paragraphedeliste"/>
        <w:numPr>
          <w:ilvl w:val="0"/>
          <w:numId w:val="1"/>
        </w:numPr>
        <w:rPr>
          <w:rFonts w:ascii="Times New Roman" w:hAnsi="Times New Roman" w:cs="Times New Roman"/>
          <w:sz w:val="32"/>
          <w:szCs w:val="32"/>
        </w:rPr>
      </w:pPr>
      <w:r w:rsidRPr="008564CB">
        <w:rPr>
          <w:rFonts w:ascii="Times New Roman" w:hAnsi="Times New Roman" w:cs="Times New Roman"/>
          <w:sz w:val="32"/>
          <w:szCs w:val="32"/>
        </w:rPr>
        <w:t xml:space="preserve">Programme de Promotion de l’Entrepreneuriat Féminin et Implémentation des Clubs d’Entrepreneuriat dans Lycées et Collèges : </w:t>
      </w:r>
      <w:r w:rsidRPr="001063D6">
        <w:rPr>
          <w:rFonts w:ascii="Times New Roman" w:hAnsi="Times New Roman" w:cs="Times New Roman"/>
          <w:b/>
          <w:sz w:val="32"/>
          <w:szCs w:val="32"/>
        </w:rPr>
        <w:t>(PPEF-ICELC)</w:t>
      </w:r>
    </w:p>
    <w:p w:rsidR="00B259A8" w:rsidRDefault="00B259A8" w:rsidP="00B259A8">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Programme de Renforcement des Capacités des Enseignants </w:t>
      </w:r>
      <w:r w:rsidRPr="001063D6">
        <w:rPr>
          <w:rFonts w:ascii="Times New Roman" w:hAnsi="Times New Roman" w:cs="Times New Roman"/>
          <w:b/>
          <w:sz w:val="32"/>
          <w:szCs w:val="32"/>
        </w:rPr>
        <w:t>(PRECACSIV)</w:t>
      </w:r>
    </w:p>
    <w:p w:rsidR="00B259A8" w:rsidRDefault="00B259A8" w:rsidP="00B259A8">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Le Programme Vancaces Utiles </w:t>
      </w:r>
      <w:r w:rsidRPr="001063D6">
        <w:rPr>
          <w:rFonts w:ascii="Times New Roman" w:hAnsi="Times New Roman" w:cs="Times New Roman"/>
          <w:b/>
          <w:sz w:val="32"/>
          <w:szCs w:val="32"/>
        </w:rPr>
        <w:t>(VU)</w:t>
      </w:r>
    </w:p>
    <w:p w:rsidR="00B259A8" w:rsidRDefault="00B259A8" w:rsidP="00B259A8">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Programmes de d’Elaboration des Ouvrages Scientifiques notament dans le domaine Emploi-Formation-Entrepreneuriat </w:t>
      </w:r>
      <w:r w:rsidRPr="001063D6">
        <w:rPr>
          <w:rFonts w:ascii="Times New Roman" w:hAnsi="Times New Roman" w:cs="Times New Roman"/>
          <w:b/>
          <w:sz w:val="32"/>
          <w:szCs w:val="32"/>
        </w:rPr>
        <w:t>(PEOSL/EFE)</w:t>
      </w:r>
    </w:p>
    <w:p w:rsidR="00B259A8" w:rsidRDefault="00B259A8" w:rsidP="00B259A8">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Programme de Conception des Documentaires/ Revues Scientifiques et Littéraires </w:t>
      </w:r>
      <w:r w:rsidRPr="001063D6">
        <w:rPr>
          <w:rFonts w:ascii="Times New Roman" w:hAnsi="Times New Roman" w:cs="Times New Roman"/>
          <w:b/>
          <w:sz w:val="32"/>
          <w:szCs w:val="32"/>
        </w:rPr>
        <w:t>(PROCODOSL)</w:t>
      </w:r>
    </w:p>
    <w:p w:rsidR="00B259A8" w:rsidRPr="008564CB" w:rsidRDefault="00B259A8" w:rsidP="00B259A8">
      <w:pPr>
        <w:pStyle w:val="Paragraphedeliste"/>
        <w:numPr>
          <w:ilvl w:val="0"/>
          <w:numId w:val="1"/>
        </w:numPr>
        <w:rPr>
          <w:rFonts w:ascii="Times New Roman" w:hAnsi="Times New Roman" w:cs="Times New Roman"/>
          <w:sz w:val="32"/>
          <w:szCs w:val="32"/>
        </w:rPr>
      </w:pPr>
      <w:r>
        <w:rPr>
          <w:rFonts w:ascii="Times New Roman" w:hAnsi="Times New Roman" w:cs="Times New Roman"/>
          <w:sz w:val="32"/>
          <w:szCs w:val="32"/>
        </w:rPr>
        <w:t xml:space="preserve">Programmes d’Enseignement Supérieur Polyvalent Conception de Nouvelles Filières </w:t>
      </w:r>
      <w:r w:rsidRPr="001063D6">
        <w:rPr>
          <w:rFonts w:ascii="Times New Roman" w:hAnsi="Times New Roman" w:cs="Times New Roman"/>
          <w:b/>
          <w:sz w:val="32"/>
          <w:szCs w:val="32"/>
        </w:rPr>
        <w:t>(PESP/CNF)</w:t>
      </w:r>
      <w:r>
        <w:rPr>
          <w:rFonts w:ascii="Times New Roman" w:hAnsi="Times New Roman" w:cs="Times New Roman"/>
          <w:sz w:val="32"/>
          <w:szCs w:val="32"/>
        </w:rPr>
        <w:t xml:space="preserve"> </w:t>
      </w:r>
    </w:p>
    <w:p w:rsidR="00B259A8" w:rsidRDefault="00B259A8" w:rsidP="00B259A8">
      <w:pPr>
        <w:pStyle w:val="Paragraphedeliste"/>
        <w:ind w:left="1068"/>
        <w:rPr>
          <w:rFonts w:ascii="Times New Roman" w:hAnsi="Times New Roman" w:cs="Times New Roman"/>
          <w:sz w:val="32"/>
          <w:szCs w:val="32"/>
        </w:rPr>
      </w:pPr>
      <w:r w:rsidRPr="008564CB">
        <w:rPr>
          <w:rFonts w:ascii="Times New Roman" w:hAnsi="Times New Roman" w:cs="Times New Roman"/>
          <w:sz w:val="32"/>
          <w:szCs w:val="32"/>
        </w:rPr>
        <w:t xml:space="preserve">    </w:t>
      </w:r>
    </w:p>
    <w:p w:rsidR="00B259A8" w:rsidRDefault="00B259A8" w:rsidP="00B259A8">
      <w:pPr>
        <w:pStyle w:val="Paragraphedeliste"/>
        <w:ind w:left="1068"/>
        <w:rPr>
          <w:rFonts w:ascii="Times New Roman" w:hAnsi="Times New Roman" w:cs="Times New Roman"/>
          <w:sz w:val="32"/>
          <w:szCs w:val="32"/>
        </w:rPr>
      </w:pPr>
      <w:r>
        <w:rPr>
          <w:rFonts w:ascii="Times New Roman" w:hAnsi="Times New Roman" w:cs="Times New Roman"/>
          <w:sz w:val="32"/>
          <w:szCs w:val="32"/>
        </w:rPr>
        <w:t xml:space="preserve">Ces Programmes doivent </w:t>
      </w:r>
      <w:r>
        <w:rPr>
          <w:rFonts w:ascii="Calibri" w:hAnsi="Calibri" w:cs="Calibri"/>
          <w:sz w:val="32"/>
          <w:szCs w:val="32"/>
        </w:rPr>
        <w:t>ê</w:t>
      </w:r>
      <w:r>
        <w:rPr>
          <w:rFonts w:ascii="Times New Roman" w:hAnsi="Times New Roman" w:cs="Times New Roman"/>
          <w:sz w:val="32"/>
          <w:szCs w:val="32"/>
        </w:rPr>
        <w:t>tre présentés sommairement ainsi qu’il suit :</w:t>
      </w:r>
    </w:p>
    <w:p w:rsidR="00B259A8" w:rsidRPr="00817936" w:rsidRDefault="00B259A8" w:rsidP="00B259A8">
      <w:pPr>
        <w:pStyle w:val="Paragraphedeliste"/>
        <w:ind w:left="1068"/>
        <w:rPr>
          <w:rFonts w:ascii="Times New Roman" w:hAnsi="Times New Roman" w:cs="Times New Roman"/>
          <w:sz w:val="32"/>
          <w:szCs w:val="32"/>
        </w:rPr>
      </w:pPr>
    </w:p>
    <w:p w:rsidR="00B259A8" w:rsidRPr="001063D6" w:rsidRDefault="00B259A8" w:rsidP="00B259A8">
      <w:pPr>
        <w:pStyle w:val="Paragraphedeliste"/>
        <w:numPr>
          <w:ilvl w:val="0"/>
          <w:numId w:val="2"/>
        </w:numPr>
        <w:rPr>
          <w:rFonts w:ascii="Times New Roman" w:hAnsi="Times New Roman" w:cs="Times New Roman"/>
          <w:b/>
          <w:sz w:val="32"/>
          <w:szCs w:val="32"/>
        </w:rPr>
      </w:pPr>
      <w:r w:rsidRPr="001063D6">
        <w:rPr>
          <w:rFonts w:ascii="Times New Roman" w:hAnsi="Times New Roman" w:cs="Times New Roman"/>
          <w:b/>
          <w:sz w:val="32"/>
          <w:szCs w:val="32"/>
        </w:rPr>
        <w:t>Programme de Promotion de l’Entrepreneuriat Féminin et Implémentation des Clubs d’Entrepreneuriat dans Lycées et Collèges (PPEF-ICELC)</w:t>
      </w:r>
    </w:p>
    <w:p w:rsidR="00B259A8" w:rsidRDefault="00B259A8" w:rsidP="00D1413D">
      <w:pPr>
        <w:spacing w:line="360" w:lineRule="auto"/>
        <w:ind w:left="270"/>
        <w:jc w:val="both"/>
        <w:rPr>
          <w:rFonts w:ascii="Century Gothic" w:hAnsi="Century Gothic" w:cs="Times New Roman"/>
        </w:rPr>
      </w:pPr>
    </w:p>
    <w:p w:rsidR="00B259A8" w:rsidRDefault="00B259A8" w:rsidP="00D1413D">
      <w:pPr>
        <w:spacing w:line="360" w:lineRule="auto"/>
        <w:ind w:left="270"/>
        <w:jc w:val="both"/>
        <w:rPr>
          <w:rFonts w:ascii="Century Gothic" w:hAnsi="Century Gothic" w:cs="Times New Roman"/>
        </w:rPr>
      </w:pPr>
    </w:p>
    <w:p w:rsidR="00B259A8" w:rsidRPr="00B259A8" w:rsidRDefault="00B259A8" w:rsidP="00B259A8">
      <w:pPr>
        <w:tabs>
          <w:tab w:val="left" w:pos="7395"/>
        </w:tabs>
        <w:spacing w:line="360" w:lineRule="auto"/>
        <w:jc w:val="both"/>
        <w:rPr>
          <w:rFonts w:ascii="Times New Roman" w:hAnsi="Times New Roman" w:cs="Times New Roman"/>
          <w:sz w:val="28"/>
          <w:szCs w:val="28"/>
        </w:rPr>
      </w:pPr>
      <w:r w:rsidRPr="00B259A8">
        <w:rPr>
          <w:rFonts w:ascii="Times New Roman" w:hAnsi="Times New Roman" w:cs="Times New Roman"/>
          <w:color w:val="000000"/>
          <w:sz w:val="28"/>
          <w:szCs w:val="28"/>
        </w:rPr>
        <w:t xml:space="preserve">Nous venons ainsi par ce Programme qui a toute sa consistance intellectuelle accompagner les États Africains dans leurs politiques sur les réformes éducatives par la Valorisation des Compétences et de l’Entrepreneuriat afin que ces apprenants puissent directement impacter sur les économies de leurs Etats à travers la création d’entreprises. Nous apportons notre modeste contribution afin de poser notre pierre à l'édifice pour le développement du Cameroun en particulier et de l'Afrique tout entier en général. </w:t>
      </w:r>
    </w:p>
    <w:p w:rsidR="00D1413D" w:rsidRPr="00B259A8" w:rsidRDefault="00D1413D" w:rsidP="00D1413D">
      <w:pPr>
        <w:spacing w:line="360" w:lineRule="auto"/>
        <w:ind w:left="270"/>
        <w:jc w:val="both"/>
        <w:rPr>
          <w:rFonts w:ascii="Century Gothic" w:hAnsi="Century Gothic" w:cs="Times New Roman"/>
          <w:sz w:val="28"/>
          <w:szCs w:val="28"/>
        </w:rPr>
      </w:pPr>
      <w:r w:rsidRPr="00B259A8">
        <w:rPr>
          <w:rFonts w:ascii="Century Gothic" w:hAnsi="Century Gothic" w:cs="Times New Roman"/>
          <w:sz w:val="28"/>
          <w:szCs w:val="28"/>
        </w:rPr>
        <w:t xml:space="preserve">  </w:t>
      </w:r>
    </w:p>
    <w:p w:rsidR="00124CCD" w:rsidRPr="00D1413D" w:rsidRDefault="00124CCD" w:rsidP="00D1413D">
      <w:pPr>
        <w:ind w:firstLine="708"/>
      </w:pPr>
    </w:p>
    <w:sectPr w:rsidR="00124CCD" w:rsidRPr="00D1413D" w:rsidSect="00124CCD">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811" w:rsidRDefault="00435811" w:rsidP="00D1413D">
      <w:pPr>
        <w:spacing w:after="0" w:line="240" w:lineRule="auto"/>
      </w:pPr>
      <w:r>
        <w:separator/>
      </w:r>
    </w:p>
  </w:endnote>
  <w:endnote w:type="continuationSeparator" w:id="1">
    <w:p w:rsidR="00435811" w:rsidRDefault="00435811" w:rsidP="00D14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13D" w:rsidRDefault="00D1413D">
    <w:pPr>
      <w:pStyle w:val="Pieddepage"/>
    </w:pPr>
    <w:r w:rsidRPr="00D1413D">
      <w:drawing>
        <wp:anchor distT="0" distB="0" distL="114300" distR="114300" simplePos="0" relativeHeight="251659264" behindDoc="1" locked="0" layoutInCell="1" allowOverlap="1">
          <wp:simplePos x="0" y="0"/>
          <wp:positionH relativeFrom="column">
            <wp:posOffset>-671195</wp:posOffset>
          </wp:positionH>
          <wp:positionV relativeFrom="paragraph">
            <wp:posOffset>260985</wp:posOffset>
          </wp:positionV>
          <wp:extent cx="7086600" cy="28638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06" r="3583"/>
                  <a:stretch/>
                </pic:blipFill>
                <pic:spPr bwMode="auto">
                  <a:xfrm>
                    <a:off x="0" y="0"/>
                    <a:ext cx="7088249" cy="283187"/>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811" w:rsidRDefault="00435811" w:rsidP="00D1413D">
      <w:pPr>
        <w:spacing w:after="0" w:line="240" w:lineRule="auto"/>
      </w:pPr>
      <w:r>
        <w:separator/>
      </w:r>
    </w:p>
  </w:footnote>
  <w:footnote w:type="continuationSeparator" w:id="1">
    <w:p w:rsidR="00435811" w:rsidRDefault="00435811" w:rsidP="00D141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06A4D"/>
    <w:multiLevelType w:val="hybridMultilevel"/>
    <w:tmpl w:val="D52CB1E8"/>
    <w:lvl w:ilvl="0" w:tplc="BE568B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A215188"/>
    <w:multiLevelType w:val="hybridMultilevel"/>
    <w:tmpl w:val="33824BD6"/>
    <w:lvl w:ilvl="0" w:tplc="E324A032">
      <w:start w:val="1"/>
      <w:numFmt w:val="decimal"/>
      <w:lvlText w:val="%1-"/>
      <w:lvlJc w:val="left"/>
      <w:pPr>
        <w:ind w:left="1068" w:hanging="360"/>
      </w:pPr>
      <w:rPr>
        <w:rFonts w:ascii="Times New Roman" w:eastAsiaTheme="minorHAnsi" w:hAnsi="Times New Roman" w:cs="Times New Roman"/>
        <w:b w:val="0"/>
        <w:sz w:val="28"/>
        <w:szCs w:val="28"/>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413D"/>
    <w:rsid w:val="0006593C"/>
    <w:rsid w:val="00124CCD"/>
    <w:rsid w:val="00435811"/>
    <w:rsid w:val="00B259A8"/>
    <w:rsid w:val="00D141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CCD"/>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D141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1413D"/>
    <w:rPr>
      <w:lang w:val="fr-CM"/>
    </w:rPr>
  </w:style>
  <w:style w:type="paragraph" w:styleId="Pieddepage">
    <w:name w:val="footer"/>
    <w:basedOn w:val="Normal"/>
    <w:link w:val="PieddepageCar"/>
    <w:uiPriority w:val="99"/>
    <w:semiHidden/>
    <w:unhideWhenUsed/>
    <w:rsid w:val="00D1413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1413D"/>
    <w:rPr>
      <w:lang w:val="fr-CM"/>
    </w:rPr>
  </w:style>
  <w:style w:type="paragraph" w:styleId="Paragraphedeliste">
    <w:name w:val="List Paragraph"/>
    <w:basedOn w:val="Normal"/>
    <w:uiPriority w:val="34"/>
    <w:qFormat/>
    <w:rsid w:val="00B259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842</Words>
  <Characters>4631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AJEC</dc:creator>
  <cp:lastModifiedBy>user</cp:lastModifiedBy>
  <cp:revision>1</cp:revision>
  <dcterms:created xsi:type="dcterms:W3CDTF">2005-06-21T20:46:00Z</dcterms:created>
  <dcterms:modified xsi:type="dcterms:W3CDTF">2005-06-21T21:32:00Z</dcterms:modified>
</cp:coreProperties>
</file>