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5qpfe8lyhcal" w:id="0"/>
      <w:bookmarkEnd w:id="0"/>
      <w:r w:rsidDel="00000000" w:rsidR="00000000" w:rsidRPr="00000000">
        <w:rPr>
          <w:rtl w:val="0"/>
        </w:rPr>
        <w:t xml:space="preserve">Além do Piloto: A Mentalidade que Separa os Verdadeiros Líderes em IA dos Demais</w:t>
      </w:r>
    </w:p>
    <w:p w:rsidR="00000000" w:rsidDel="00000000" w:rsidP="00000000" w:rsidRDefault="00000000" w:rsidRPr="00000000" w14:paraId="00000002">
      <w:pPr>
        <w:pStyle w:val="Heading5"/>
        <w:rPr/>
      </w:pPr>
      <w:bookmarkStart w:colFirst="0" w:colLast="0" w:name="_7ak9pnh460a3" w:id="1"/>
      <w:bookmarkEnd w:id="1"/>
      <w:r w:rsidDel="00000000" w:rsidR="00000000" w:rsidRPr="00000000">
        <w:rPr>
          <w:rtl w:val="0"/>
        </w:rPr>
        <w:t xml:space="preserve">Introdução: O Paradoxo da Adoção Generalizada e do Valor Elusivo da IA</w:t>
      </w:r>
    </w:p>
    <w:p w:rsidR="00000000" w:rsidDel="00000000" w:rsidP="00000000" w:rsidRDefault="00000000" w:rsidRPr="00000000" w14:paraId="00000003">
      <w:pPr>
        <w:rPr/>
      </w:pPr>
      <w:r w:rsidDel="00000000" w:rsidR="00000000" w:rsidRPr="00000000">
        <w:rPr>
          <w:rtl w:val="0"/>
        </w:rPr>
        <w:t xml:space="preserve">A Inteligência Artificial já não é uma tecnologia emergente no horizonte; ela está firmemente enraizada nas operações diárias da maioria das empresas. De acordo com os dados mais recentes, impressionantes  </w:t>
      </w:r>
      <w:r w:rsidDel="00000000" w:rsidR="00000000" w:rsidRPr="00000000">
        <w:rPr>
          <w:b w:val="1"/>
          <w:bCs w:val="1"/>
          <w:rtl w:val="0"/>
        </w:rPr>
        <w:t xml:space="preserve">88% das organizações já utilizam IA regularmente em pelo menos uma função de negócio</w:t>
      </w:r>
      <w:r w:rsidDel="00000000" w:rsidR="00000000" w:rsidRPr="00000000">
        <w:rPr>
          <w:rtl w:val="0"/>
        </w:rPr>
        <w:t xml:space="preserve"> . Essa onipresença, no entanto, mascara um paradoxo desconcertante: apesar da alta taxa de adoção, a maioria das empresas ainda não alcançou um valor significativo em nível empresarial. Os números contam uma história de potencial não realizado, com quase dois terços dos entrevistados ainda sem começar a escalar a IA em toda a empresa e apenas 39% relatando qualquer impacto no lucro antes de juros e impostos (EBIT).A diferença entre as empresas que apenas experimentam e aquelas que alcançam alto desempenho — os chamados "high performers" — não reside na sofisticação da tecnologia que utilizam, mas em uma mentalidade fundamentalmente mais ambiciosa e focada na transformação. Este artigo, com base nos insights do mais recente relatório da McKinsey sobre o estado da IA, irá dissecar as práticas e a visão que definem essa elite, revelando como eles transformam a promessa da IA em resultados tangíveis e sustentáveis.</w:t>
      </w:r>
    </w:p>
    <w:p w:rsidR="00000000" w:rsidDel="00000000" w:rsidP="00000000" w:rsidRDefault="00000000" w:rsidRPr="00000000" w14:paraId="00000004">
      <w:pPr>
        <w:pStyle w:val="Heading5"/>
        <w:rPr/>
      </w:pPr>
      <w:bookmarkStart w:colFirst="0" w:colLast="0" w:name="_vhanczrindsk" w:id="2"/>
      <w:bookmarkEnd w:id="2"/>
      <w:r w:rsidDel="00000000" w:rsidR="00000000" w:rsidRPr="00000000">
        <w:rPr>
          <w:rtl w:val="0"/>
        </w:rPr>
        <w:t xml:space="preserve">1. O Cenário Atual: Atividade Intensa, Impacto Limitado</w:t>
      </w:r>
    </w:p>
    <w:p w:rsidR="00000000" w:rsidDel="00000000" w:rsidP="00000000" w:rsidRDefault="00000000" w:rsidRPr="00000000" w14:paraId="00000005">
      <w:pPr>
        <w:rPr/>
      </w:pPr>
      <w:r w:rsidDel="00000000" w:rsidR="00000000" w:rsidRPr="00000000">
        <w:rPr>
          <w:rtl w:val="0"/>
        </w:rPr>
        <w:t xml:space="preserve">Para traçar um caminho eficaz, é crucial primeiro compreender o terreno. Sem um diagnóstico claro da lacuna entre a experimentação generalizada e a geração de valor em escala, os líderes correm o risco de perpetuar um ciclo de investimentos em iniciativas que nunca geram um retorno substancial. O cenário atual da IA é de intensa atividade, mas de impacto frequentemente superficial.A análise do estado da adoção da IA revela que, embora o uso tenha se expandido, a profundidade da implementação permanece limitada na maioria das organizações. Vejamos os dados:</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Ampla Experimentação:</w:t>
      </w:r>
      <w:r w:rsidDel="00000000" w:rsidR="00000000" w:rsidRPr="00000000">
        <w:rPr>
          <w:rtl w:val="0"/>
        </w:rPr>
        <w:t xml:space="preserve">  Quase dois terços das organizações ainda estão presas nas fases de "experimentação" ou "pilotagem", explorando casos de uso isolados em vez de buscar uma integração sistêmica.</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Crescimento da Adoção:</w:t>
      </w:r>
      <w:r w:rsidDel="00000000" w:rsidR="00000000" w:rsidRPr="00000000">
        <w:rPr>
          <w:rtl w:val="0"/>
        </w:rPr>
        <w:t xml:space="preserve">  O uso de IA em pelo menos uma função de negócio aumentou consideravelmente, saltando de 78% no ano anterior para 88% atualmente, confirmando sua penetração generalizada.</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Líderes de Escala:</w:t>
      </w:r>
      <w:r w:rsidDel="00000000" w:rsidR="00000000" w:rsidRPr="00000000">
        <w:rPr>
          <w:rtl w:val="0"/>
        </w:rPr>
        <w:t xml:space="preserve">  Em nítido contraste, apenas cerca de um terço das empresas iniciou a jornada de escalar seus programas de IA para além dos projetos-piloto, indicando que a transição da prova de conceito para a produção em larga escala continua sendo um obstáculo significativo.Esse abismo entre atividade e impacto é ainda mais evidente quando analisamos os resultados financeiros. Embora existam benefícios de custo e receita em casos de uso específicos — como em engenharia de software, que relata reduções de custos, e em marketing, que vê aumentos de receita —, o impacto no EBIT em toda a empresa permanece raro. Dos poucos que relatam algum impacto (39%), a maioria afirma que a contribuição da IA para o EBIT é inferior a 5%.Esses dados revelam um erro de diagnóstico crítico na maioria das organizações: os líderes estão tratando a IA como um problema de tecnologia a ser resolvido com pilotos, quando ela é, na verdade, um desafio de transformação de negócios que exige uma nova mentalidade estratégica. A lacuna não é de capacidade, mas de convicção.</w:t>
      </w:r>
    </w:p>
    <w:p w:rsidR="00000000" w:rsidDel="00000000" w:rsidP="00000000" w:rsidRDefault="00000000" w:rsidRPr="00000000" w14:paraId="00000009">
      <w:pPr>
        <w:pStyle w:val="Heading5"/>
        <w:rPr/>
      </w:pPr>
      <w:bookmarkStart w:colFirst="0" w:colLast="0" w:name="_1ly34vxpncr8" w:id="3"/>
      <w:bookmarkEnd w:id="3"/>
      <w:r w:rsidDel="00000000" w:rsidR="00000000" w:rsidRPr="00000000">
        <w:rPr>
          <w:rtl w:val="0"/>
        </w:rPr>
        <w:t xml:space="preserve">2. A Mentalidade Transformadora: O que os "High Performers" Fazem de Diferente</w:t>
      </w:r>
    </w:p>
    <w:p w:rsidR="00000000" w:rsidDel="00000000" w:rsidP="00000000" w:rsidRDefault="00000000" w:rsidRPr="00000000" w14:paraId="0000000A">
      <w:pPr>
        <w:rPr/>
      </w:pPr>
      <w:r w:rsidDel="00000000" w:rsidR="00000000" w:rsidRPr="00000000">
        <w:rPr>
          <w:rtl w:val="0"/>
        </w:rPr>
        <w:t xml:space="preserve">No topo da pirâmide da maturidade em IA, encontramos um grupo de elite: os "AI high performers". Definidos como as organizações que atribuem mais de 5% do seu EBIT ao uso de IA e relatam "valor significativo", eles representam apenas cerca de 6% dos entrevistados. A análise de seu comportamento não revela um segredo tecnológico, mas sim um roteiro estratégico claro, fundamentado em três pilares de uma mentalidade transformadora.</w:t>
      </w:r>
    </w:p>
    <w:p w:rsidR="00000000" w:rsidDel="00000000" w:rsidP="00000000" w:rsidRDefault="00000000" w:rsidRPr="00000000" w14:paraId="0000000B">
      <w:pPr>
        <w:pStyle w:val="Heading6"/>
        <w:rPr/>
      </w:pPr>
      <w:bookmarkStart w:colFirst="0" w:colLast="0" w:name="_t9u62e46zeo3" w:id="4"/>
      <w:bookmarkEnd w:id="4"/>
      <w:r w:rsidDel="00000000" w:rsidR="00000000" w:rsidRPr="00000000">
        <w:rPr>
          <w:rtl w:val="0"/>
        </w:rPr>
        <w:t xml:space="preserve">2.1. Além da Eficiência: A Ambição pela Inovação e Crescimento</w:t>
      </w:r>
    </w:p>
    <w:p w:rsidR="00000000" w:rsidDel="00000000" w:rsidP="00000000" w:rsidRDefault="00000000" w:rsidRPr="00000000" w14:paraId="0000000C">
      <w:pPr>
        <w:rPr>
          <w:i w:val="1"/>
          <w:iCs w:val="1"/>
        </w:rPr>
      </w:pPr>
      <w:r w:rsidDel="00000000" w:rsidR="00000000" w:rsidRPr="00000000">
        <w:rPr>
          <w:rtl w:val="0"/>
        </w:rPr>
        <w:t xml:space="preserve">A diferença mais fundamental reside nos objetivos estratégicos que orientam as iniciativas de IA. Enquanto a grande maioria das empresas (82%) foca primariamente em ganhos de eficiência, os "high performers", embora também busquem eficiência (84%), são muito mais propensos a definir  </w:t>
      </w:r>
      <w:r w:rsidDel="00000000" w:rsidR="00000000" w:rsidRPr="00000000">
        <w:rPr>
          <w:b w:val="1"/>
          <w:bCs w:val="1"/>
          <w:rtl w:val="0"/>
        </w:rPr>
        <w:t xml:space="preserve">crescimento (80%)</w:t>
      </w:r>
      <w:r w:rsidDel="00000000" w:rsidR="00000000" w:rsidRPr="00000000">
        <w:rPr>
          <w:rtl w:val="0"/>
        </w:rPr>
        <w:t xml:space="preserve">  e  </w:t>
      </w:r>
      <w:r w:rsidDel="00000000" w:rsidR="00000000" w:rsidRPr="00000000">
        <w:rPr>
          <w:b w:val="1"/>
          <w:bCs w:val="1"/>
          <w:rtl w:val="0"/>
        </w:rPr>
        <w:t xml:space="preserve">inovação (79%)</w:t>
      </w:r>
      <w:r w:rsidDel="00000000" w:rsidR="00000000" w:rsidRPr="00000000">
        <w:rPr>
          <w:rtl w:val="0"/>
        </w:rPr>
        <w:t xml:space="preserve">  como objetivos centrais adicionais. Em contraste, para as outras empresas, a busca por crescimento e inovação como objetivos cai para apenas 50% em ambos os casos, revelando um foco muito mais restrito.Essa ambição expandida tem consequências estratégicas profundas. As organizações que utilizam a IA para estimular o crescimento e a inovação têm maior probabilidade de relatar benefícios qualitativos cruciais, como melhor satisfação do cliente e uma diferenciação competitiva mais acentuada. Essa visão mais ampla muda o enquadramento da IA de uma ferramenta de redução de custos para um motor de reinvenção do negócio."Quando os líderes articulam uma visão transformadora para a IA, vemos que isso galvaniza a organização em termos de alinhamento, investimento e energia geral. Como resultado, as organizações líderes não estão apenas vendo resultados de automação aprimorados; elas estão redesenhando fluxos de trabalho e experiências do cliente para capturar novas formas de valor."—  </w:t>
      </w:r>
      <w:r w:rsidDel="00000000" w:rsidR="00000000" w:rsidRPr="00000000">
        <w:rPr>
          <w:i w:val="1"/>
          <w:iCs w:val="1"/>
          <w:rtl w:val="0"/>
        </w:rPr>
        <w:t xml:space="preserve">Tara Balakrishnan, Associate Partner, McKinsey</w:t>
      </w:r>
    </w:p>
    <w:p w:rsidR="00000000" w:rsidDel="00000000" w:rsidP="00000000" w:rsidRDefault="00000000" w:rsidRPr="00000000" w14:paraId="0000000D">
      <w:pPr>
        <w:pStyle w:val="Heading6"/>
        <w:rPr/>
      </w:pPr>
      <w:bookmarkStart w:colFirst="0" w:colLast="0" w:name="_l2f83swauee" w:id="5"/>
      <w:bookmarkEnd w:id="5"/>
      <w:r w:rsidDel="00000000" w:rsidR="00000000" w:rsidRPr="00000000">
        <w:rPr>
          <w:rtl w:val="0"/>
        </w:rPr>
        <w:t xml:space="preserve">2.2. Redesenho de Fluxos de Trabalho: De Ferramenta a Sistema Nervoso Central</w:t>
      </w:r>
    </w:p>
    <w:p w:rsidR="00000000" w:rsidDel="00000000" w:rsidP="00000000" w:rsidRDefault="00000000" w:rsidRPr="00000000" w14:paraId="0000000E">
      <w:pPr>
        <w:rPr/>
      </w:pPr>
      <w:r w:rsidDel="00000000" w:rsidR="00000000" w:rsidRPr="00000000">
        <w:rPr>
          <w:rtl w:val="0"/>
        </w:rPr>
        <w:t xml:space="preserve">Os "high performers" recusam-se a meramente "polvilhar" IA sobre processos legados. Eles a utilizam como um catalisador para redesenhar fundamentalmente como o trabalho é feito. Os dados são inequívocos: eles são  </w:t>
      </w:r>
      <w:r w:rsidDel="00000000" w:rsidR="00000000" w:rsidRPr="00000000">
        <w:rPr>
          <w:b w:val="1"/>
          <w:bCs w:val="1"/>
          <w:rtl w:val="0"/>
        </w:rPr>
        <w:t xml:space="preserve">quase três vezes mais propensos (55% contra 20%)</w:t>
      </w:r>
      <w:r w:rsidDel="00000000" w:rsidR="00000000" w:rsidRPr="00000000">
        <w:rPr>
          <w:rtl w:val="0"/>
        </w:rPr>
        <w:t xml:space="preserve">  a redesenhar os fluxos de trabalho ao implantar a IA. Esta é a mudança crítica de ver a IA como uma ferramenta protética anexada ao negócio para integrá-la como parte de seu sistema nervoso central, capaz de sentir, aprender e agir dentro das operações principais.Essa prática, segundo a análise da McKinsey, é um dos fatores com maior contribuição para o impacto nos negócios. Mover a IA de uma ferramenta pontual para uma capacidade integrada que redefine processos é o que permite desbloquear níveis de desempenho e valor que seriam inatingíveis com uma abordagem incremental.</w:t>
      </w:r>
    </w:p>
    <w:p w:rsidR="00000000" w:rsidDel="00000000" w:rsidP="00000000" w:rsidRDefault="00000000" w:rsidRPr="00000000" w14:paraId="0000000F">
      <w:pPr>
        <w:pStyle w:val="Heading6"/>
        <w:rPr/>
      </w:pPr>
      <w:bookmarkStart w:colFirst="0" w:colLast="0" w:name="_xugehz692l67" w:id="6"/>
      <w:bookmarkEnd w:id="6"/>
      <w:r w:rsidDel="00000000" w:rsidR="00000000" w:rsidRPr="00000000">
        <w:rPr>
          <w:rtl w:val="0"/>
        </w:rPr>
        <w:t xml:space="preserve">2.3. Liderança Comprometida: O Patrocínio que Move a Agulha</w:t>
      </w:r>
    </w:p>
    <w:p w:rsidR="00000000" w:rsidDel="00000000" w:rsidP="00000000" w:rsidRDefault="00000000" w:rsidRPr="00000000" w14:paraId="00000010">
      <w:pPr>
        <w:rPr/>
      </w:pPr>
      <w:r w:rsidDel="00000000" w:rsidR="00000000" w:rsidRPr="00000000">
        <w:rPr>
          <w:rtl w:val="0"/>
        </w:rPr>
        <w:t xml:space="preserve">Uma visão transformadora requer um patrocínio igualmente poderoso. Nos "high performers", o compromisso com a IA emana do topo. Eles são  </w:t>
      </w:r>
      <w:r w:rsidDel="00000000" w:rsidR="00000000" w:rsidRPr="00000000">
        <w:rPr>
          <w:b w:val="1"/>
          <w:bCs w:val="1"/>
          <w:rtl w:val="0"/>
        </w:rPr>
        <w:t xml:space="preserve">três vezes mais propensos</w:t>
      </w:r>
      <w:r w:rsidDel="00000000" w:rsidR="00000000" w:rsidRPr="00000000">
        <w:rPr>
          <w:rtl w:val="0"/>
        </w:rPr>
        <w:t xml:space="preserve">  a concordar fortemente que seus líderes demonstram propriedade e compromisso com as iniciativas de IA (48% contra 16% das outras empresas).Esse compromisso transcende o mero financiamento. Envolve a defesa contínua das iniciativas em toda a organização e, crucialmente, o exemplo ativo ( </w:t>
      </w:r>
      <w:r w:rsidDel="00000000" w:rsidR="00000000" w:rsidRPr="00000000">
        <w:rPr>
          <w:i w:val="1"/>
          <w:iCs w:val="1"/>
          <w:rtl w:val="0"/>
        </w:rPr>
        <w:t xml:space="preserve">role modeling</w:t>
      </w:r>
      <w:r w:rsidDel="00000000" w:rsidR="00000000" w:rsidRPr="00000000">
        <w:rPr>
          <w:rtl w:val="0"/>
        </w:rPr>
        <w:t xml:space="preserve"> ) do uso da IA pelos próprios líderes. Esse patrocínio visível e constante sinaliza a importância estratégica da IA e inspira a organização a abraçar a mudança.Essa mentalidade estratégica, no entanto, seria apenas uma aspiração sem os investimentos e as práticas operacionais que a tornam realidade.</w:t>
      </w:r>
    </w:p>
    <w:p w:rsidR="00000000" w:rsidDel="00000000" w:rsidP="00000000" w:rsidRDefault="00000000" w:rsidRPr="00000000" w14:paraId="00000011">
      <w:pPr>
        <w:pStyle w:val="Heading5"/>
        <w:rPr/>
      </w:pPr>
      <w:bookmarkStart w:colFirst="0" w:colLast="0" w:name="_675bvfhilezm" w:id="7"/>
      <w:bookmarkEnd w:id="7"/>
      <w:r w:rsidDel="00000000" w:rsidR="00000000" w:rsidRPr="00000000">
        <w:rPr>
          <w:rtl w:val="0"/>
        </w:rPr>
        <w:t xml:space="preserve">3. O Motor do Desempenho: Investimento e Práticas que Sustentam a Transformação</w:t>
      </w:r>
    </w:p>
    <w:p w:rsidR="00000000" w:rsidDel="00000000" w:rsidP="00000000" w:rsidRDefault="00000000" w:rsidRPr="00000000" w14:paraId="00000012">
      <w:pPr>
        <w:rPr/>
      </w:pPr>
      <w:r w:rsidDel="00000000" w:rsidR="00000000" w:rsidRPr="00000000">
        <w:rPr>
          <w:rtl w:val="0"/>
        </w:rPr>
        <w:t xml:space="preserve">Uma mentalidade transformadora deve ser apoiada por recursos e disciplina operacional para não se tornar um exercício puramente teórico. Os "high performers" não apenas pensam diferente; eles alocam capital e implementam as melhores práticas de uma forma que garante que sua visão se traduza em resultados concretos.</w:t>
      </w:r>
    </w:p>
    <w:p w:rsidR="00000000" w:rsidDel="00000000" w:rsidP="00000000" w:rsidRDefault="00000000" w:rsidRPr="00000000" w14:paraId="00000013">
      <w:pPr>
        <w:pStyle w:val="Heading6"/>
        <w:rPr/>
      </w:pPr>
      <w:bookmarkStart w:colFirst="0" w:colLast="0" w:name="_vdw7wisz4545" w:id="8"/>
      <w:bookmarkEnd w:id="8"/>
      <w:r w:rsidDel="00000000" w:rsidR="00000000" w:rsidRPr="00000000">
        <w:rPr>
          <w:rtl w:val="0"/>
        </w:rPr>
        <w:t xml:space="preserve">3.1. Investir para Vencer: O Orçamento como Declaração de Intenções</w:t>
      </w:r>
    </w:p>
    <w:p w:rsidR="00000000" w:rsidDel="00000000" w:rsidP="00000000" w:rsidRDefault="00000000" w:rsidRPr="00000000" w14:paraId="00000014">
      <w:pPr>
        <w:rPr/>
      </w:pPr>
      <w:r w:rsidDel="00000000" w:rsidR="00000000" w:rsidRPr="00000000">
        <w:rPr>
          <w:rtl w:val="0"/>
        </w:rPr>
        <w:t xml:space="preserve">A alocação de orçamento é talvez a expressão mais clara da prioridade estratégica de uma empresa. Nesse quesito, a diferença é gritante. Mais de  </w:t>
      </w:r>
      <w:r w:rsidDel="00000000" w:rsidR="00000000" w:rsidRPr="00000000">
        <w:rPr>
          <w:b w:val="1"/>
          <w:bCs w:val="1"/>
          <w:rtl w:val="0"/>
        </w:rPr>
        <w:t xml:space="preserve">um terço dos "high performers" (35%) aloca mais de 20% de seus orçamentos digitais para IA</w:t>
      </w:r>
      <w:r w:rsidDel="00000000" w:rsidR="00000000" w:rsidRPr="00000000">
        <w:rPr>
          <w:rtl w:val="0"/>
        </w:rPr>
        <w:t xml:space="preserve"> , em comparação com apenas 7% das outras empresas.Isso não é uma variação no orçamento; é uma diferença fundamental na filosofia corporativa. Os "high performers" tratam a IA não como uma linha de despesa no orçamento de TI, mas como um investimento de capital essencial para a criação de valor futuro.</w:t>
      </w:r>
    </w:p>
    <w:p w:rsidR="00000000" w:rsidDel="00000000" w:rsidP="00000000" w:rsidRDefault="00000000" w:rsidRPr="00000000" w14:paraId="00000015">
      <w:pPr>
        <w:pStyle w:val="Heading6"/>
        <w:rPr/>
      </w:pPr>
      <w:bookmarkStart w:colFirst="0" w:colLast="0" w:name="_lixsw3w0qy2y" w:id="9"/>
      <w:bookmarkEnd w:id="9"/>
      <w:r w:rsidDel="00000000" w:rsidR="00000000" w:rsidRPr="00000000">
        <w:rPr>
          <w:rtl w:val="0"/>
        </w:rPr>
        <w:t xml:space="preserve">3.2. A Arquitetura do Sucesso: As Práticas que Habilitam a Escala</w:t>
      </w:r>
    </w:p>
    <w:p w:rsidR="00000000" w:rsidDel="00000000" w:rsidP="00000000" w:rsidRDefault="00000000" w:rsidRPr="00000000" w14:paraId="00000016">
      <w:pPr>
        <w:rPr/>
      </w:pPr>
      <w:r w:rsidDel="00000000" w:rsidR="00000000" w:rsidRPr="00000000">
        <w:rPr>
          <w:rtl w:val="0"/>
        </w:rPr>
        <w:t xml:space="preserve">Investimento sem uma estrutura de execução robusta leva ao desperdício. Os "high performers" se distinguem pela implementação disciplinada de práticas de gestão que criam um ecossistema propício à escala. Em vez de uma lista de verificação, eles constroem uma arquitetura de sucesso em torno de dois eixos complementares.</w:t>
      </w:r>
    </w:p>
    <w:p w:rsidR="00000000" w:rsidDel="00000000" w:rsidP="00000000" w:rsidRDefault="00000000" w:rsidRPr="00000000" w14:paraId="00000017">
      <w:pPr>
        <w:pStyle w:val="Heading6"/>
        <w:rPr/>
      </w:pPr>
      <w:bookmarkStart w:colFirst="0" w:colLast="0" w:name="_nshnaurk83cn" w:id="10"/>
      <w:bookmarkEnd w:id="10"/>
      <w:r w:rsidDel="00000000" w:rsidR="00000000" w:rsidRPr="00000000">
        <w:rPr>
          <w:rtl w:val="0"/>
        </w:rPr>
        <w:t xml:space="preserve">Clareza Estratégica e Alinhamento da Liderança</w:t>
      </w:r>
    </w:p>
    <w:p w:rsidR="00000000" w:rsidDel="00000000" w:rsidP="00000000" w:rsidRDefault="00000000" w:rsidRPr="00000000" w14:paraId="00000018">
      <w:pPr>
        <w:rPr/>
      </w:pPr>
      <w:r w:rsidDel="00000000" w:rsidR="00000000" w:rsidRPr="00000000">
        <w:rPr>
          <w:rtl w:val="0"/>
        </w:rPr>
        <w:t xml:space="preserve">A base para a escala é um norte claro e compartilhado. Os "high performers" garantem que todos remem na mesma direção, sendo significativamente mais propensos a ter um  </w:t>
      </w:r>
      <w:r w:rsidDel="00000000" w:rsidR="00000000" w:rsidRPr="00000000">
        <w:rPr>
          <w:b w:val="1"/>
          <w:bCs w:val="1"/>
          <w:rtl w:val="0"/>
        </w:rPr>
        <w:t xml:space="preserve">roteiro de IA claramente definido</w:t>
      </w:r>
      <w:r w:rsidDel="00000000" w:rsidR="00000000" w:rsidRPr="00000000">
        <w:rPr>
          <w:rtl w:val="0"/>
        </w:rPr>
        <w:t xml:space="preserve">  e alinhado aos negócios (60% vs. 19%) e a garantir que seus  </w:t>
      </w:r>
      <w:r w:rsidDel="00000000" w:rsidR="00000000" w:rsidRPr="00000000">
        <w:rPr>
          <w:b w:val="1"/>
          <w:bCs w:val="1"/>
          <w:rtl w:val="0"/>
        </w:rPr>
        <w:t xml:space="preserve">principais líderes compreendam como a IA pode criar valor</w:t>
      </w:r>
      <w:r w:rsidDel="00000000" w:rsidR="00000000" w:rsidRPr="00000000">
        <w:rPr>
          <w:rtl w:val="0"/>
        </w:rPr>
        <w:t xml:space="preserve">  (60% vs. 33%). Essa clareza estratégica fornece o "porquê" e o "o quê" que guiam cada investimento e iniciativa.</w:t>
      </w:r>
    </w:p>
    <w:p w:rsidR="00000000" w:rsidDel="00000000" w:rsidP="00000000" w:rsidRDefault="00000000" w:rsidRPr="00000000" w14:paraId="00000019">
      <w:pPr>
        <w:pStyle w:val="Heading6"/>
        <w:rPr/>
      </w:pPr>
      <w:bookmarkStart w:colFirst="0" w:colLast="0" w:name="_cyfzqlh03oet" w:id="11"/>
      <w:bookmarkEnd w:id="11"/>
      <w:r w:rsidDel="00000000" w:rsidR="00000000" w:rsidRPr="00000000">
        <w:rPr>
          <w:rtl w:val="0"/>
        </w:rPr>
        <w:t xml:space="preserve">Disciplina Operacional para Escala</w:t>
      </w:r>
    </w:p>
    <w:p w:rsidR="00000000" w:rsidDel="00000000" w:rsidP="00000000" w:rsidRDefault="00000000" w:rsidRPr="00000000" w14:paraId="0000001A">
      <w:pPr>
        <w:rPr/>
      </w:pPr>
      <w:r w:rsidDel="00000000" w:rsidR="00000000" w:rsidRPr="00000000">
        <w:rPr>
          <w:rtl w:val="0"/>
        </w:rPr>
        <w:t xml:space="preserve">Com a estratégia definida, o foco se volta para a execução rigorosa. Os líderes em IA se destacam na implementação de práticas que trazem a estratégia para o mundo real. Eles são muito mais propensos a  </w:t>
      </w:r>
      <w:r w:rsidDel="00000000" w:rsidR="00000000" w:rsidRPr="00000000">
        <w:rPr>
          <w:b w:val="1"/>
          <w:bCs w:val="1"/>
          <w:rtl w:val="0"/>
        </w:rPr>
        <w:t xml:space="preserve">incorporar efetivamente as soluções de IA nos processos de negócios existentes</w:t>
      </w:r>
      <w:r w:rsidDel="00000000" w:rsidR="00000000" w:rsidRPr="00000000">
        <w:rPr>
          <w:rtl w:val="0"/>
        </w:rPr>
        <w:t xml:space="preserve">  (60% vs. 20%) e a ter processos definidos para  </w:t>
      </w:r>
      <w:r w:rsidDel="00000000" w:rsidR="00000000" w:rsidRPr="00000000">
        <w:rPr>
          <w:b w:val="1"/>
          <w:bCs w:val="1"/>
          <w:rtl w:val="0"/>
        </w:rPr>
        <w:t xml:space="preserve">validação humana ("human in the loop")</w:t>
      </w:r>
      <w:r w:rsidDel="00000000" w:rsidR="00000000" w:rsidRPr="00000000">
        <w:rPr>
          <w:rtl w:val="0"/>
        </w:rPr>
        <w:t xml:space="preserve">  (65% vs. 24%) — duas das práticas com maior correlação com o impacto nos negócios. Além disso, eles contam com uma  </w:t>
      </w:r>
      <w:r w:rsidDel="00000000" w:rsidR="00000000" w:rsidRPr="00000000">
        <w:rPr>
          <w:b w:val="1"/>
          <w:bCs w:val="1"/>
          <w:rtl w:val="0"/>
        </w:rPr>
        <w:t xml:space="preserve">organização ágil de entrega de produtos</w:t>
      </w:r>
      <w:r w:rsidDel="00000000" w:rsidR="00000000" w:rsidRPr="00000000">
        <w:rPr>
          <w:rtl w:val="0"/>
        </w:rPr>
        <w:t xml:space="preserve">  (57% vs. 20%) para acelerar os ciclos de desenvolvimento e aprendizado.Juntas, essas práticas formam uma espécie de "andaime para o sucesso", onde uma estratégia clara é sustentada pela disciplina operacional inegociável necessária para incorporar a IA de forma profunda e segura no núcleo do negócio.</w:t>
      </w:r>
    </w:p>
    <w:p w:rsidR="00000000" w:rsidDel="00000000" w:rsidP="00000000" w:rsidRDefault="00000000" w:rsidRPr="00000000" w14:paraId="0000001B">
      <w:pPr>
        <w:pStyle w:val="Heading5"/>
        <w:rPr/>
      </w:pPr>
      <w:bookmarkStart w:colFirst="0" w:colLast="0" w:name="_e0cd3wn4azr9" w:id="12"/>
      <w:bookmarkEnd w:id="12"/>
      <w:r w:rsidDel="00000000" w:rsidR="00000000" w:rsidRPr="00000000">
        <w:rPr>
          <w:rtl w:val="0"/>
        </w:rPr>
        <w:t xml:space="preserve">Conclusão: Deixar de Experimentar, Começar a Transformar</w:t>
      </w:r>
    </w:p>
    <w:p w:rsidR="00000000" w:rsidDel="00000000" w:rsidP="00000000" w:rsidRDefault="00000000" w:rsidRPr="00000000" w14:paraId="0000001C">
      <w:pPr>
        <w:rPr/>
      </w:pPr>
      <w:r w:rsidDel="00000000" w:rsidR="00000000" w:rsidRPr="00000000">
        <w:rPr>
          <w:rtl w:val="0"/>
        </w:rPr>
        <w:t xml:space="preserve">A ampla adoção da IA criou uma perigosa sensação de progresso. Muitas organizações acreditam estar no caminho certo simplesmente por estarem "fazendo IA". No entanto, os dados da McKinsey mostram de forma conclusiva que o verdadeiro valor é capturado por uma minoria com uma abordagem fundamentalmente distinta. O sucesso não é uma consequência inevitável da experimentação, mas sim o resultado de uma escolha estratégica deliberada.As três características definidoras dos "high performers" oferecem um guia claro: uma  </w:t>
      </w:r>
      <w:r w:rsidDel="00000000" w:rsidR="00000000" w:rsidRPr="00000000">
        <w:rPr>
          <w:b w:val="1"/>
          <w:bCs w:val="1"/>
          <w:rtl w:val="0"/>
        </w:rPr>
        <w:t xml:space="preserve">ambição que vai além da eficiência</w:t>
      </w:r>
      <w:r w:rsidDel="00000000" w:rsidR="00000000" w:rsidRPr="00000000">
        <w:rPr>
          <w:rtl w:val="0"/>
        </w:rPr>
        <w:t xml:space="preserve">  para abraçar a inovação transformadora, a  </w:t>
      </w:r>
      <w:r w:rsidDel="00000000" w:rsidR="00000000" w:rsidRPr="00000000">
        <w:rPr>
          <w:b w:val="1"/>
          <w:bCs w:val="1"/>
          <w:rtl w:val="0"/>
        </w:rPr>
        <w:t xml:space="preserve">coragem de redesenhar fluxos de trabalho</w:t>
      </w:r>
      <w:r w:rsidDel="00000000" w:rsidR="00000000" w:rsidRPr="00000000">
        <w:rPr>
          <w:rtl w:val="0"/>
        </w:rPr>
        <w:t xml:space="preserve">  em vez de apenas otimizá-los, e um  </w:t>
      </w:r>
      <w:r w:rsidDel="00000000" w:rsidR="00000000" w:rsidRPr="00000000">
        <w:rPr>
          <w:b w:val="1"/>
          <w:bCs w:val="1"/>
          <w:rtl w:val="0"/>
        </w:rPr>
        <w:t xml:space="preserve">compromisso inabalável da liderança</w:t>
      </w:r>
      <w:r w:rsidDel="00000000" w:rsidR="00000000" w:rsidRPr="00000000">
        <w:rPr>
          <w:rtl w:val="0"/>
        </w:rPr>
        <w:t xml:space="preserve">  que inspira e direciona toda a organização.Em última análise, a questão não é se devemos "fazer IA", mas que tipo de empresa pretendemos ser. A escolha é entre gerenciar mudanças incrementais a partir da periferia ou liderar uma transformação fundamental a partir do núcleo. Na era da IA, apenas a última opção garantirá um futuro competitivo.</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