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sj7x3a5xxw9a" w:id="0"/>
      <w:bookmarkEnd w:id="0"/>
      <w:r w:rsidDel="00000000" w:rsidR="00000000" w:rsidRPr="00000000">
        <w:rPr>
          <w:rtl w:val="0"/>
        </w:rPr>
        <w:t xml:space="preserve">Proposta de Políticas: Aproveitando a Inteligência Artificial para o Crescimento Inclusivo na América Latina e no Caribe</w:t>
      </w:r>
    </w:p>
    <w:p w:rsidR="00000000" w:rsidDel="00000000" w:rsidP="00000000" w:rsidRDefault="00000000" w:rsidRPr="00000000" w14:paraId="00000002">
      <w:pPr>
        <w:pStyle w:val="Heading4"/>
        <w:rPr/>
      </w:pPr>
      <w:bookmarkStart w:colFirst="0" w:colLast="0" w:name="_9fsaalpi6ecy" w:id="1"/>
      <w:bookmarkEnd w:id="1"/>
      <w:r w:rsidDel="00000000" w:rsidR="00000000" w:rsidRPr="00000000">
        <w:rPr>
          <w:rtl w:val="0"/>
        </w:rPr>
        <w:t xml:space="preserve">1.0 Introdução: O Imperativo Estratégico da IA para a Região</w:t>
      </w:r>
    </w:p>
    <w:p w:rsidR="00000000" w:rsidDel="00000000" w:rsidP="00000000" w:rsidRDefault="00000000" w:rsidRPr="00000000" w14:paraId="00000003">
      <w:pPr>
        <w:rPr/>
      </w:pPr>
      <w:r w:rsidDel="00000000" w:rsidR="00000000" w:rsidRPr="00000000">
        <w:rPr>
          <w:rtl w:val="0"/>
        </w:rPr>
        <w:t xml:space="preserve">A inteligência artificial (IA) consolida-se no cenário global como um motor fundamental de produtividade e um catalisador para o crescimento econômico. Para os países da América Latina e do Caribe (ALC), posicionar-se adequadamente nesta transformação tecnológica não é uma opção, mas um imperativo inadiável para a competitividade futura da região. Diante deste cenário, os formuladores de políticas públicas enfrentam o desafio de criar um ecossistema propício à adoção da IA, maximizando seus benefícios e mitigando seus riscos sociais. Este documento apresenta, com base na análise do Fundo Monetário Internacional (FMI), uma proposta de políticas focada em resolver uma das assimetrias estruturais mais profundas que limitam a adoção da IA na região: a alta informalidade no mercado de trabalho. Contudo, o paradoxo que a região enfrenta é que a sua principal vulnerabilidade estrutural — a informalidade — mascara perigosamente a urgência desta ação, criando uma falsa sensação de segurança.</w:t>
      </w:r>
    </w:p>
    <w:p w:rsidR="00000000" w:rsidDel="00000000" w:rsidP="00000000" w:rsidRDefault="00000000" w:rsidRPr="00000000" w14:paraId="00000004">
      <w:pPr>
        <w:pStyle w:val="Heading4"/>
        <w:rPr/>
      </w:pPr>
      <w:bookmarkStart w:colFirst="0" w:colLast="0" w:name="_ur1f9t0fc68" w:id="2"/>
      <w:bookmarkEnd w:id="2"/>
      <w:r w:rsidDel="00000000" w:rsidR="00000000" w:rsidRPr="00000000">
        <w:rPr>
          <w:rtl w:val="0"/>
        </w:rPr>
        <w:t xml:space="preserve">2.0 O Paradoxo da América Latina: Baixa Exposição à IA como Obstáculo ao Crescimento</w:t>
      </w:r>
    </w:p>
    <w:p w:rsidR="00000000" w:rsidDel="00000000" w:rsidP="00000000" w:rsidRDefault="00000000" w:rsidRPr="00000000" w14:paraId="00000005">
      <w:pPr>
        <w:rPr/>
      </w:pPr>
      <w:r w:rsidDel="00000000" w:rsidR="00000000" w:rsidRPr="00000000">
        <w:rPr>
          <w:rtl w:val="0"/>
        </w:rPr>
        <w:t xml:space="preserve">Para avaliar o impacto potencial da inteligência artificial na América Latina e no Caribe, é essencial compreender a estrutura de seu mercado de trabalho. A característica definidora, e principal desafio, é a prevalência da informalidade. Uma grande parcela da força de trabalho opera fora da economia formal, criando uma barreira estrutural à inovação e à adoção de novas tecnologias.A análise do FMI revela que a região da ALC tem menos empregos altamente expostos à IA em comparação com economias avançadas, precisamente devido ao grande tamanho do seu setor informal. Dados indicam que menos da metade dos empregos na região são suscetíveis de serem altamente impactados pela IA, um contraste notável com nações como o Reino Unido e os Estados Unidos. Essa realidade é um reflexo direto do fato de que mais da metade de todos os empregos na região são informais. Em países como Bolívia, Peru e Honduras, essa parcela ultrapassa dois terços da força de trabalho. Isso ocorre porque os empregos informais estão concentrados em setores de baixa produtividade, como serviços de pequena escala e trabalho manual, que são menos suscetíveis à automação por modelos de IA atuais, em contraste com as tarefas cognitivas e rotineiras predominantes no setor formal.</w:t>
      </w:r>
    </w:p>
    <w:p w:rsidR="00000000" w:rsidDel="00000000" w:rsidP="00000000" w:rsidRDefault="00000000" w:rsidRPr="00000000" w14:paraId="00000006">
      <w:pPr>
        <w:pStyle w:val="Heading5"/>
        <w:rPr/>
      </w:pPr>
      <w:bookmarkStart w:colFirst="0" w:colLast="0" w:name="_jzxsr2y8kbop" w:id="3"/>
      <w:bookmarkEnd w:id="3"/>
      <w:r w:rsidDel="00000000" w:rsidR="00000000" w:rsidRPr="00000000">
        <w:rPr>
          <w:rtl w:val="0"/>
        </w:rPr>
        <w:t xml:space="preserve">Comparativo da Exposição de Empregos à IA</w:t>
      </w:r>
    </w:p>
    <w:p w:rsidR="00000000" w:rsidDel="00000000" w:rsidP="00000000" w:rsidRDefault="00000000" w:rsidRPr="00000000" w14:paraId="00000007">
      <w:pPr>
        <w:rPr/>
      </w:pPr>
      <w:r w:rsidDel="00000000" w:rsidR="00000000" w:rsidRPr="00000000">
        <w:rPr>
          <w:rtl w:val="0"/>
        </w:rPr>
        <w:t xml:space="preserve">País,Estimativa de Baixa Exposição à IA (%),Estimativa de Alta Exposição à IA (Complementaridade Alta + Baixa) (%)</w:t>
      </w:r>
    </w:p>
    <w:p w:rsidR="00000000" w:rsidDel="00000000" w:rsidP="00000000" w:rsidRDefault="00000000" w:rsidRPr="00000000" w14:paraId="00000008">
      <w:pPr>
        <w:rPr/>
      </w:pPr>
      <w:r w:rsidDel="00000000" w:rsidR="00000000" w:rsidRPr="00000000">
        <w:rPr>
          <w:rtl w:val="0"/>
        </w:rPr>
        <w:t xml:space="preserve">Peru,62%,38%</w:t>
      </w:r>
    </w:p>
    <w:p w:rsidR="00000000" w:rsidDel="00000000" w:rsidP="00000000" w:rsidRDefault="00000000" w:rsidRPr="00000000" w14:paraId="00000009">
      <w:pPr>
        <w:rPr/>
      </w:pPr>
      <w:r w:rsidDel="00000000" w:rsidR="00000000" w:rsidRPr="00000000">
        <w:rPr>
          <w:rtl w:val="0"/>
        </w:rPr>
        <w:t xml:space="preserve">Brasil,55%,45%</w:t>
      </w:r>
    </w:p>
    <w:p w:rsidR="00000000" w:rsidDel="00000000" w:rsidP="00000000" w:rsidRDefault="00000000" w:rsidRPr="00000000" w14:paraId="0000000A">
      <w:pPr>
        <w:rPr/>
      </w:pPr>
      <w:r w:rsidDel="00000000" w:rsidR="00000000" w:rsidRPr="00000000">
        <w:rPr>
          <w:rtl w:val="0"/>
        </w:rPr>
        <w:t xml:space="preserve">México,60%,40%</w:t>
      </w:r>
    </w:p>
    <w:p w:rsidR="00000000" w:rsidDel="00000000" w:rsidP="00000000" w:rsidRDefault="00000000" w:rsidRPr="00000000" w14:paraId="0000000B">
      <w:pPr>
        <w:rPr/>
      </w:pPr>
      <w:r w:rsidDel="00000000" w:rsidR="00000000" w:rsidRPr="00000000">
        <w:rPr>
          <w:rtl w:val="0"/>
        </w:rPr>
        <w:t xml:space="preserve">Estados Unidos,45%,55%</w:t>
      </w:r>
    </w:p>
    <w:p w:rsidR="00000000" w:rsidDel="00000000" w:rsidP="00000000" w:rsidRDefault="00000000" w:rsidRPr="00000000" w14:paraId="0000000C">
      <w:pPr>
        <w:rPr/>
      </w:pPr>
      <w:r w:rsidDel="00000000" w:rsidR="00000000" w:rsidRPr="00000000">
        <w:rPr>
          <w:rtl w:val="0"/>
        </w:rPr>
        <w:t xml:space="preserve">Reino Unido,32%,68%</w:t>
      </w:r>
    </w:p>
    <w:p w:rsidR="00000000" w:rsidDel="00000000" w:rsidP="00000000" w:rsidRDefault="00000000" w:rsidRPr="00000000" w14:paraId="0000000D">
      <w:pPr>
        <w:rPr/>
      </w:pPr>
      <w:r w:rsidDel="00000000" w:rsidR="00000000" w:rsidRPr="00000000">
        <w:rPr>
          <w:i w:val="1"/>
          <w:iCs w:val="1"/>
          <w:rtl w:val="0"/>
        </w:rPr>
        <w:t xml:space="preserve">Fonte: Cálculos da equipe do FMI.</w:t>
      </w:r>
      <w:r w:rsidDel="00000000" w:rsidR="00000000" w:rsidRPr="00000000">
        <w:rPr>
          <w:rtl w:val="0"/>
        </w:rPr>
        <w:t xml:space="preserve">Este cenário cria um paradoxo complexo. Por um lado, a baixa exposição à IA pode proteger temporariamente a região de disrupções imediatas no mercado de trabalho. Por outro, e de forma mais crucial, representa um risco iminente de "perder os benefícios completos do crescimento econômico impulsionado pela IA". A incapacidade de integrar a alavancagem tecnológica da IA em uma vasta porção da economia limita o potencial de ganhos de produtividade e competitividade. Portanto, o que parece um escudo de curto prazo é, na verdade, um obstáculo ao desenvolvimento de longo prazo, tornando as políticas de formalização um pré-requisito para o progresso.</w:t>
      </w:r>
    </w:p>
    <w:p w:rsidR="00000000" w:rsidDel="00000000" w:rsidP="00000000" w:rsidRDefault="00000000" w:rsidRPr="00000000" w14:paraId="0000000E">
      <w:pPr>
        <w:pStyle w:val="Heading4"/>
        <w:rPr/>
      </w:pPr>
      <w:bookmarkStart w:colFirst="0" w:colLast="0" w:name="_u69ohwkxh42x" w:id="4"/>
      <w:bookmarkEnd w:id="4"/>
      <w:r w:rsidDel="00000000" w:rsidR="00000000" w:rsidRPr="00000000">
        <w:rPr>
          <w:rtl w:val="0"/>
        </w:rPr>
        <w:t xml:space="preserve">3.0 A Natureza Dual do Impacto da IA: Oportunidades e Riscos nos Setores Expostos</w:t>
      </w:r>
    </w:p>
    <w:p w:rsidR="00000000" w:rsidDel="00000000" w:rsidP="00000000" w:rsidRDefault="00000000" w:rsidRPr="00000000" w14:paraId="0000000F">
      <w:pPr>
        <w:rPr/>
      </w:pPr>
      <w:r w:rsidDel="00000000" w:rsidR="00000000" w:rsidRPr="00000000">
        <w:rPr>
          <w:rtl w:val="0"/>
        </w:rPr>
        <w:t xml:space="preserve">Mesmo nos setores com alta exposição à inteligência artificial, o impacto não é uniforme. É crucial que os formuladores de políticas compreendam a distinção entre empregos que serão aprimorados pela IA e aqueles que correm risco de deslocamento. Essa análise permite o desenho de intervenções mais precisas, focadas em maximizar oportunidades e mitigar os custos sociais da transição.A análise do FMI sobre os empregos expostos destaca essa divisão fundamental. Uma parte dessas funções possui alta complementaridade com a IA, onde a tecnologia atua como uma ferramenta para aumentar a produtividade humana. Em contrapartida, outro grupo de ocupações enfrenta um alto risco de substituição, onde as tarefas podem ser automatizadas.Os seguintes exemplos ilustram essa dualidade:</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Alta Complementaridade (Ganhos de Produtividade):</w:t>
      </w:r>
      <w:r w:rsidDel="00000000" w:rsidR="00000000" w:rsidRPr="00000000">
        <w:rPr>
          <w:rtl w:val="0"/>
        </w:rPr>
        <w:t xml:space="preserve">  O setor da  </w:t>
      </w:r>
      <w:r w:rsidDel="00000000" w:rsidR="00000000" w:rsidRPr="00000000">
        <w:rPr>
          <w:b w:val="1"/>
          <w:bCs w:val="1"/>
          <w:rtl w:val="0"/>
        </w:rPr>
        <w:t xml:space="preserve">saúde</w:t>
      </w:r>
      <w:r w:rsidDel="00000000" w:rsidR="00000000" w:rsidRPr="00000000">
        <w:rPr>
          <w:rtl w:val="0"/>
        </w:rPr>
        <w:t xml:space="preserve">  serve como exemplo onde a IA pode aumentar a produtividade de profissionais, auxiliando no diagnóstico e tratamento, sem que isso resulte em grandes perdas de emprego.</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Alto Risco de Deslocamento:</w:t>
      </w:r>
      <w:r w:rsidDel="00000000" w:rsidR="00000000" w:rsidRPr="00000000">
        <w:rPr>
          <w:rtl w:val="0"/>
        </w:rPr>
        <w:t xml:space="preserve">  Funções em centrais de atendimento ( </w:t>
      </w:r>
      <w:r w:rsidDel="00000000" w:rsidR="00000000" w:rsidRPr="00000000">
        <w:rPr>
          <w:i w:val="1"/>
          <w:iCs w:val="1"/>
          <w:rtl w:val="0"/>
        </w:rPr>
        <w:t xml:space="preserve">call centers</w:t>
      </w:r>
      <w:r w:rsidDel="00000000" w:rsidR="00000000" w:rsidRPr="00000000">
        <w:rPr>
          <w:rtl w:val="0"/>
        </w:rPr>
        <w:t xml:space="preserve"> ) enfrentam um risco significativo de substituição, pois muitas de suas tarefas rotineiras podem ser automatizadas por sistemas de IA conversacional.Essa diferenciação reforça a urgência de políticas proativas. A resposta estratégica não é frear a tecnologia, mas sim capacitar o capital humano para a transição, equipando os trabalhadores para migrarem de funções em declínio para aquelas em crescimento. A formalização do trabalho é a principal via para que possam acessar programas de treinamento e redes de proteção social, elementos essenciais para gerenciar os riscos e capitalizar as oportunidades.</w:t>
      </w:r>
    </w:p>
    <w:p w:rsidR="00000000" w:rsidDel="00000000" w:rsidP="00000000" w:rsidRDefault="00000000" w:rsidRPr="00000000" w14:paraId="00000012">
      <w:pPr>
        <w:pStyle w:val="Heading4"/>
        <w:rPr/>
      </w:pPr>
      <w:bookmarkStart w:colFirst="0" w:colLast="0" w:name="_yvc002yolegy" w:id="5"/>
      <w:bookmarkEnd w:id="5"/>
      <w:r w:rsidDel="00000000" w:rsidR="00000000" w:rsidRPr="00000000">
        <w:rPr>
          <w:rtl w:val="0"/>
        </w:rPr>
        <w:t xml:space="preserve">4.0 A Formalização do Trabalho: O Catalisador para a Produtividade na Era da IA</w:t>
      </w:r>
    </w:p>
    <w:p w:rsidR="00000000" w:rsidDel="00000000" w:rsidP="00000000" w:rsidRDefault="00000000" w:rsidRPr="00000000" w14:paraId="00000013">
      <w:pPr>
        <w:rPr/>
      </w:pPr>
      <w:r w:rsidDel="00000000" w:rsidR="00000000" w:rsidRPr="00000000">
        <w:rPr>
          <w:rtl w:val="0"/>
        </w:rPr>
        <w:t xml:space="preserve">O reposicionamento da formalização do trabalho como pilar da estratégia econômica — e não apenas como meta social — é a condição fundamental para que a América Latina possa capitalizar a revolução da IA. Ela é a ponte que conecta a vasta força de trabalho da região ao potencial transformador da inovação digital.O argumento central do FMI é inequívoco: "trazer mais pessoas para o trabalho formal ajudará a região a aproveitar plenamente o potencial de crescimento da IA". As empresas informais, que empregam a maioria dos trabalhadores na ALC, operam com desvantagens estruturais que as impedem de inovar: são tipicamente pequenas, possuem acesso limitado aos sistemas financeiros e legais, e lutam para atrair os investimentos necessários para escalar suas operações. Crucialmente, é menos provável que adotem novas tecnologias por falta de talento qualificado e da escala que torna tais investimentos viáveis.A formalização, portanto, não é um mero ato burocrático; é o desbloqueio do acesso ao capital, à segurança jurídica e aos mercados que permitem o investimento em escala em tecnologias como a IA. Sem essa transição, o ecossistema de inovação da região permanecerá atrofiado e restrito a uma elite econômica.</w:t>
      </w:r>
    </w:p>
    <w:p w:rsidR="00000000" w:rsidDel="00000000" w:rsidP="00000000" w:rsidRDefault="00000000" w:rsidRPr="00000000" w14:paraId="00000014">
      <w:pPr>
        <w:pStyle w:val="Heading4"/>
        <w:rPr/>
      </w:pPr>
      <w:bookmarkStart w:colFirst="0" w:colLast="0" w:name="_dmmj895o8z1k" w:id="6"/>
      <w:bookmarkEnd w:id="6"/>
      <w:r w:rsidDel="00000000" w:rsidR="00000000" w:rsidRPr="00000000">
        <w:rPr>
          <w:rtl w:val="0"/>
        </w:rPr>
        <w:t xml:space="preserve">5.0 Recomendações de Políticas Públicas Estratégicas</w:t>
      </w:r>
    </w:p>
    <w:p w:rsidR="00000000" w:rsidDel="00000000" w:rsidP="00000000" w:rsidRDefault="00000000" w:rsidRPr="00000000" w14:paraId="00000015">
      <w:pPr>
        <w:rPr/>
      </w:pPr>
      <w:r w:rsidDel="00000000" w:rsidR="00000000" w:rsidRPr="00000000">
        <w:rPr>
          <w:rtl w:val="0"/>
        </w:rPr>
        <w:t xml:space="preserve">Para transformar o potencial da IA em realidade, é necessário um conjunto de intervenções estratégicas para corrigir falhas de mercado e gargalos institucionais. As recomendações a seguir, baseadas na análise do FMI, são projetadas para criar um ambiente propício à formalização e à capacitação da força de trabalho, atacando as causas estruturais que limitam o progresso da região.</w:t>
      </w:r>
    </w:p>
    <w:p w:rsidR="00000000" w:rsidDel="00000000" w:rsidP="00000000" w:rsidRDefault="00000000" w:rsidRPr="00000000" w14:paraId="00000016">
      <w:pPr>
        <w:pStyle w:val="Heading5"/>
        <w:rPr/>
      </w:pPr>
      <w:bookmarkStart w:colFirst="0" w:colLast="0" w:name="_cn9ex3toasoj" w:id="7"/>
      <w:bookmarkEnd w:id="7"/>
      <w:r w:rsidDel="00000000" w:rsidR="00000000" w:rsidRPr="00000000">
        <w:rPr>
          <w:rtl w:val="0"/>
        </w:rPr>
        <w:t xml:space="preserve">5.1 Fomentar a Transição para a Formalidade</w:t>
      </w:r>
    </w:p>
    <w:p w:rsidR="00000000" w:rsidDel="00000000" w:rsidP="00000000" w:rsidRDefault="00000000" w:rsidRPr="00000000" w14:paraId="00000017">
      <w:pPr>
        <w:rPr/>
      </w:pPr>
      <w:r w:rsidDel="00000000" w:rsidR="00000000" w:rsidRPr="00000000">
        <w:rPr>
          <w:rtl w:val="0"/>
        </w:rPr>
        <w:t xml:space="preserve">A prioridade estratégica é a redução de barreiras e o aumento de incentivos para que as empresas, especialmente as mais novas, ingressem e permaneçam no setor formal. Três intervenções-chave são cruciais:</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Expandir o Acesso a Financiamento:</w:t>
      </w:r>
      <w:r w:rsidDel="00000000" w:rsidR="00000000" w:rsidRPr="00000000">
        <w:rPr>
          <w:rtl w:val="0"/>
        </w:rPr>
        <w:t xml:space="preserve">  O acesso ao crédito é vital para que novas empresas possam investir e crescer na economia formal. Políticas que facilitem o financiamento para pequenas e médias empresas formais servem como um poderoso catalisador para a transição.</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Simplificar a Regulamentação:</w:t>
      </w:r>
      <w:r w:rsidDel="00000000" w:rsidR="00000000" w:rsidRPr="00000000">
        <w:rPr>
          <w:rtl w:val="0"/>
        </w:rPr>
        <w:t xml:space="preserve">  Processos burocráticos complexos aumentam os custos de transação e representam uma barreira significativa. A simplificação de registros, licenciamentos e obrigações tributárias torna a formalidade uma opção mais viável e atrativa.</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Flexibilizar Fardos Regulatórios:</w:t>
      </w:r>
      <w:r w:rsidDel="00000000" w:rsidR="00000000" w:rsidRPr="00000000">
        <w:rPr>
          <w:rtl w:val="0"/>
        </w:rPr>
        <w:t xml:space="preserve">  Regulamentações onerosas podem desencorajar a operação formal. A flexibilização de exigências, como "restrições de licenciamento ocupacional", pode reduzir diretamente os custos operacionais, incentivando mais empresas e trabalhadores a saírem da informalidade.</w:t>
      </w:r>
    </w:p>
    <w:p w:rsidR="00000000" w:rsidDel="00000000" w:rsidP="00000000" w:rsidRDefault="00000000" w:rsidRPr="00000000" w14:paraId="0000001B">
      <w:pPr>
        <w:pStyle w:val="Heading5"/>
        <w:rPr/>
      </w:pPr>
      <w:bookmarkStart w:colFirst="0" w:colLast="0" w:name="_bovpvr4eh0ua" w:id="8"/>
      <w:bookmarkEnd w:id="8"/>
      <w:r w:rsidDel="00000000" w:rsidR="00000000" w:rsidRPr="00000000">
        <w:rPr>
          <w:rtl w:val="0"/>
        </w:rPr>
        <w:t xml:space="preserve">5.2 Capacitar a Força de Trabalho e Fortalecer a Proteção Social</w:t>
      </w:r>
    </w:p>
    <w:p w:rsidR="00000000" w:rsidDel="00000000" w:rsidP="00000000" w:rsidRDefault="00000000" w:rsidRPr="00000000" w14:paraId="0000001C">
      <w:pPr>
        <w:rPr/>
      </w:pPr>
      <w:r w:rsidDel="00000000" w:rsidR="00000000" w:rsidRPr="00000000">
        <w:rPr>
          <w:rtl w:val="0"/>
        </w:rPr>
        <w:t xml:space="preserve">Paralelamente aos esforços de formalização, torna-se imperativo o investimento em capital humano e em sistemas de apoio para garantir uma transição justa e eficiente para todos.</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Prover Educação e Treinamento Aprimorados:</w:t>
      </w:r>
      <w:r w:rsidDel="00000000" w:rsidR="00000000" w:rsidRPr="00000000">
        <w:rPr>
          <w:rtl w:val="0"/>
        </w:rPr>
        <w:t xml:space="preserve">  Torna-se imperativo o investimento em programas de educação e treinamento contínuo que equipem os trabalhadores com as competências necessárias para colaborar com as novas tecnologias, adaptar-se a novas funções e prosperar num mercado de trabalho dinâmico.</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Garantir Redes de Segurança Social Robustas:</w:t>
      </w:r>
      <w:r w:rsidDel="00000000" w:rsidR="00000000" w:rsidRPr="00000000">
        <w:rPr>
          <w:rtl w:val="0"/>
        </w:rPr>
        <w:t xml:space="preserve">  A transição tecnológica causará deslocamentos em certos setores. Sistemas de proteção social fortes, como seguro-desemprego e programas de assistência, são essenciais para apoiar os trabalhadores durante os períodos de transição e garantir que "não sejam deixados para trás".</w:t>
      </w:r>
    </w:p>
    <w:p w:rsidR="00000000" w:rsidDel="00000000" w:rsidP="00000000" w:rsidRDefault="00000000" w:rsidRPr="00000000" w14:paraId="0000001F">
      <w:pPr>
        <w:pStyle w:val="Heading4"/>
        <w:rPr/>
      </w:pPr>
      <w:bookmarkStart w:colFirst="0" w:colLast="0" w:name="_dtjk8idohinp" w:id="9"/>
      <w:bookmarkEnd w:id="9"/>
      <w:r w:rsidDel="00000000" w:rsidR="00000000" w:rsidRPr="00000000">
        <w:rPr>
          <w:rtl w:val="0"/>
        </w:rPr>
        <w:t xml:space="preserve">6.0 Conclusão: Construindo um Futuro Digital, Produtivo e Inclusivo para a América Latina</w:t>
      </w:r>
    </w:p>
    <w:p w:rsidR="00000000" w:rsidDel="00000000" w:rsidP="00000000" w:rsidRDefault="00000000" w:rsidRPr="00000000" w14:paraId="00000020">
      <w:pPr>
        <w:rPr/>
      </w:pPr>
      <w:r w:rsidDel="00000000" w:rsidR="00000000" w:rsidRPr="00000000">
        <w:rPr>
          <w:rtl w:val="0"/>
        </w:rPr>
        <w:t xml:space="preserve">A superação do desafio histórico da informalidade é a chave para destravar o potencial da inteligência artificial e impulsionar um novo ciclo de crescimento da produtividade na América Latina e no Caribe. A baixa exposição atual da região à IA não deve ser vista como um alívio, mas como um sinal de alerta sobre o risco de uma nova divergência econômica. A inação resultará na perda de uma oportunidade única de modernização e desenvolvimento.As políticas recomendadas neste documento — focadas na formalização, capacitação e proteção social — formam uma estratégia coesa e proativa para garantir que os benefícios da revolução da IA sejam amplamente compartilhados. Ao adotar uma abordagem estratégica e decisiva, a região pode transformar seu maior passivo estrutural em um catalisador para a inovação, construindo um futuro econômico não apenas mais resiliente e produtivo, mas, acima de tudo, fundamentalmente mais inclusivo.</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