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3vmhx213d8p" w:id="0"/>
      <w:bookmarkEnd w:id="0"/>
      <w:r w:rsidDel="00000000" w:rsidR="00000000" w:rsidRPr="00000000">
        <w:rPr>
          <w:rtl w:val="0"/>
        </w:rPr>
        <w:t xml:space="preserve">Relatório Estratégico: Alavancando a IA Agêntica para a Próxima Fronteira do Crescimento</w:t>
      </w:r>
    </w:p>
    <w:p w:rsidR="00000000" w:rsidDel="00000000" w:rsidP="00000000" w:rsidRDefault="00000000" w:rsidRPr="00000000" w14:paraId="00000002">
      <w:pPr>
        <w:pStyle w:val="Heading4"/>
        <w:rPr/>
      </w:pPr>
      <w:bookmarkStart w:colFirst="0" w:colLast="0" w:name="_keo1r7fq0cjd" w:id="1"/>
      <w:bookmarkEnd w:id="1"/>
      <w:r w:rsidDel="00000000" w:rsidR="00000000" w:rsidRPr="00000000">
        <w:rPr>
          <w:rtl w:val="0"/>
        </w:rPr>
        <w:t xml:space="preserve">1.0 Introdução: O Potencial da IA Agêntica para Marketing e Vendas</w:t>
      </w:r>
    </w:p>
    <w:p w:rsidR="00000000" w:rsidDel="00000000" w:rsidP="00000000" w:rsidRDefault="00000000" w:rsidRPr="00000000" w14:paraId="00000003">
      <w:pPr>
        <w:rPr/>
      </w:pPr>
      <w:r w:rsidDel="00000000" w:rsidR="00000000" w:rsidRPr="00000000">
        <w:rPr>
          <w:rtl w:val="0"/>
        </w:rPr>
        <w:t xml:space="preserve">A Inteligência Artificial Agêntica representa uma mudança de paradigma para as operações de negócio, movendo a IA da simples assistência para a ação e decisão autônoma. Diferente de modelos generativos que respondem a comandos, os agentes de IA podem raciocinar, executar processos complexos de múltiplos passos e colaborar entre si para atingir objetivos de negócio, como otimizar preços ou gerir interações com clientes de ponta a ponta. Esta tecnologia inaugura uma nova fronteira para as funções de crescimento, transformando a forma como as empresas interagem com os seus mercados.O potencial de valor da IA Agêntica para as áreas de marketing e vendas é imenso. Análises da McKinsey estimam que esta tecnologia poderá ser responsável por  </w:t>
      </w:r>
      <w:r w:rsidDel="00000000" w:rsidR="00000000" w:rsidRPr="00000000">
        <w:rPr>
          <w:b w:val="1"/>
          <w:bCs w:val="1"/>
          <w:rtl w:val="0"/>
        </w:rPr>
        <w:t xml:space="preserve">mais de 60 por cento do valor aumentado</w:t>
      </w:r>
      <w:r w:rsidDel="00000000" w:rsidR="00000000" w:rsidRPr="00000000">
        <w:rPr>
          <w:rtl w:val="0"/>
        </w:rPr>
        <w:t xml:space="preserve">  que a IA deverá gerar nestas áreas. Implementações em escala podem proporcionar  </w:t>
      </w:r>
      <w:r w:rsidDel="00000000" w:rsidR="00000000" w:rsidRPr="00000000">
        <w:rPr>
          <w:b w:val="1"/>
          <w:bCs w:val="1"/>
          <w:rtl w:val="0"/>
        </w:rPr>
        <w:t xml:space="preserve">melhorias de produtividade de três a cinco por cento anualmente</w:t>
      </w:r>
      <w:r w:rsidDel="00000000" w:rsidR="00000000" w:rsidRPr="00000000">
        <w:rPr>
          <w:rtl w:val="0"/>
        </w:rPr>
        <w:t xml:space="preserve">  e, potencialmente, um  </w:t>
      </w:r>
      <w:r w:rsidDel="00000000" w:rsidR="00000000" w:rsidRPr="00000000">
        <w:rPr>
          <w:b w:val="1"/>
          <w:bCs w:val="1"/>
          <w:rtl w:val="0"/>
        </w:rPr>
        <w:t xml:space="preserve">aumento de crescimento de 10 por cento ou mais</w:t>
      </w:r>
      <w:r w:rsidDel="00000000" w:rsidR="00000000" w:rsidRPr="00000000">
        <w:rPr>
          <w:rtl w:val="0"/>
        </w:rPr>
        <w:t xml:space="preserve"> .Apesar deste potencial, a maioria das organizações enfrenta um desafio central na sua jornada de IA. Atualmente,  </w:t>
      </w:r>
      <w:r w:rsidDel="00000000" w:rsidR="00000000" w:rsidRPr="00000000">
        <w:rPr>
          <w:b w:val="1"/>
          <w:bCs w:val="1"/>
          <w:rtl w:val="0"/>
        </w:rPr>
        <w:t xml:space="preserve">quase oito em dez não relatam ganhos significativos</w:t>
      </w:r>
      <w:r w:rsidDel="00000000" w:rsidR="00000000" w:rsidRPr="00000000">
        <w:rPr>
          <w:rtl w:val="0"/>
        </w:rPr>
        <w:t xml:space="preserve">  com a implementação de IA em geral. Esta lacuna entre a promessa e o desempenho deve-se, em grande parte, a programas piloto fragmentados, bases de dados fracas e uma governança insuficiente que impedem a escala e a geração de valor real.Contudo, apesar destes desafios, empresas pioneiras já estão a superar estas barreiras e a demonstrar resultados tangíveis, provando que o impacto da IA agêntica é alcançável com a abordagem correta.</w:t>
      </w:r>
    </w:p>
    <w:p w:rsidR="00000000" w:rsidDel="00000000" w:rsidP="00000000" w:rsidRDefault="00000000" w:rsidRPr="00000000" w14:paraId="00000004">
      <w:pPr>
        <w:pStyle w:val="Heading4"/>
        <w:rPr/>
      </w:pPr>
      <w:bookmarkStart w:colFirst="0" w:colLast="0" w:name="_e59kxt6y2te4" w:id="2"/>
      <w:bookmarkEnd w:id="2"/>
      <w:r w:rsidDel="00000000" w:rsidR="00000000" w:rsidRPr="00000000">
        <w:rPr>
          <w:rtl w:val="0"/>
        </w:rPr>
        <w:t xml:space="preserve">2.0 Análise de Impacto: Resultados Observáveis em Empresas Pioneiras</w:t>
      </w:r>
    </w:p>
    <w:p w:rsidR="00000000" w:rsidDel="00000000" w:rsidP="00000000" w:rsidRDefault="00000000" w:rsidRPr="00000000" w14:paraId="00000005">
      <w:pPr>
        <w:rPr/>
      </w:pPr>
      <w:r w:rsidDel="00000000" w:rsidR="00000000" w:rsidRPr="00000000">
        <w:rPr>
          <w:rtl w:val="0"/>
        </w:rPr>
        <w:t xml:space="preserve">Examinar os resultados concretos de empresas que já adotaram a IA agêntica é estrategicamente crucial. Estes exemplos não só validam o potencial transformador da tecnologia, mas também fornecem um roteiro claro sobre como e onde o valor pode ser gerado. Estes exemplos demonstram o impacto da IA agêntica em todo o ciclo de vida do crescimento—desde a  </w:t>
      </w:r>
      <w:r w:rsidDel="00000000" w:rsidR="00000000" w:rsidRPr="00000000">
        <w:rPr>
          <w:b w:val="1"/>
          <w:bCs w:val="1"/>
          <w:rtl w:val="0"/>
        </w:rPr>
        <w:t xml:space="preserve">aceleração da inovação em campanhas</w:t>
      </w:r>
      <w:r w:rsidDel="00000000" w:rsidR="00000000" w:rsidRPr="00000000">
        <w:rPr>
          <w:rtl w:val="0"/>
        </w:rPr>
        <w:t xml:space="preserve">  (Fortune 250), passando pela  </w:t>
      </w:r>
      <w:r w:rsidDel="00000000" w:rsidR="00000000" w:rsidRPr="00000000">
        <w:rPr>
          <w:b w:val="1"/>
          <w:bCs w:val="1"/>
          <w:rtl w:val="0"/>
        </w:rPr>
        <w:t xml:space="preserve">otimização da eficiência operacional</w:t>
      </w:r>
      <w:r w:rsidDel="00000000" w:rsidR="00000000" w:rsidRPr="00000000">
        <w:rPr>
          <w:rtl w:val="0"/>
        </w:rPr>
        <w:t xml:space="preserve">  (seguradora europeia), até à  </w:t>
      </w:r>
      <w:r w:rsidDel="00000000" w:rsidR="00000000" w:rsidRPr="00000000">
        <w:rPr>
          <w:b w:val="1"/>
          <w:bCs w:val="1"/>
          <w:rtl w:val="0"/>
        </w:rPr>
        <w:t xml:space="preserve">maximização da conversão e retenção de clientes</w:t>
      </w:r>
      <w:r w:rsidDel="00000000" w:rsidR="00000000" w:rsidRPr="00000000">
        <w:rPr>
          <w:rtl w:val="0"/>
        </w:rPr>
        <w:t xml:space="preserve">  (companhia aérea e construtora).</w:t>
      </w:r>
    </w:p>
    <w:p w:rsidR="00000000" w:rsidDel="00000000" w:rsidP="00000000" w:rsidRDefault="00000000" w:rsidRPr="00000000" w14:paraId="00000006">
      <w:pPr>
        <w:pStyle w:val="Heading5"/>
        <w:rPr/>
      </w:pPr>
      <w:bookmarkStart w:colFirst="0" w:colLast="0" w:name="_vbg2ipb9jkb" w:id="3"/>
      <w:bookmarkEnd w:id="3"/>
      <w:r w:rsidDel="00000000" w:rsidR="00000000" w:rsidRPr="00000000">
        <w:rPr>
          <w:rtl w:val="0"/>
        </w:rPr>
        <w:t xml:space="preserve">2.1 Aceleração e Eficiência Operacional</w:t>
      </w:r>
    </w:p>
    <w:p w:rsidR="00000000" w:rsidDel="00000000" w:rsidP="00000000" w:rsidRDefault="00000000" w:rsidRPr="00000000" w14:paraId="00000007">
      <w:pPr>
        <w:rPr/>
      </w:pPr>
      <w:r w:rsidDel="00000000" w:rsidR="00000000" w:rsidRPr="00000000">
        <w:rPr>
          <w:rtl w:val="0"/>
        </w:rPr>
        <w:t xml:space="preserve">A capacidade dos agentes de IA para automatizar e orquestrar fluxos de trabalho complexos está a gerar ganhos de velocidade e eficiência notáveis.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Empresas da Fortune 250 alcançaram uma  </w:t>
      </w:r>
      <w:r w:rsidDel="00000000" w:rsidR="00000000" w:rsidRPr="00000000">
        <w:rPr>
          <w:b w:val="1"/>
          <w:bCs w:val="1"/>
          <w:rtl w:val="0"/>
        </w:rPr>
        <w:t xml:space="preserve">aceleração de 15 vezes</w:t>
      </w:r>
      <w:r w:rsidDel="00000000" w:rsidR="00000000" w:rsidRPr="00000000">
        <w:rPr>
          <w:rtl w:val="0"/>
        </w:rPr>
        <w:t xml:space="preserve">  na criação e execução de campanhas, um avanço impulsionado por ciclos de inovação mais rápidos e pela otimização de processos que os sistemas tradicionais não conseguem igualar.</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Uma seguradora europeia implementou uma rede conectada de agentes para redefinir o seu modelo comercial. Ao centralizar mais de 1.000 documentos com  </w:t>
      </w:r>
      <w:r w:rsidDel="00000000" w:rsidR="00000000" w:rsidRPr="00000000">
        <w:rPr>
          <w:b w:val="1"/>
          <w:bCs w:val="1"/>
          <w:rtl w:val="0"/>
        </w:rPr>
        <w:t xml:space="preserve">"agentes de conhecimento"</w:t>
      </w:r>
      <w:r w:rsidDel="00000000" w:rsidR="00000000" w:rsidRPr="00000000">
        <w:rPr>
          <w:rtl w:val="0"/>
        </w:rPr>
        <w:t xml:space="preserve">  e automatizar a revisão de chamadas com  </w:t>
      </w:r>
      <w:r w:rsidDel="00000000" w:rsidR="00000000" w:rsidRPr="00000000">
        <w:rPr>
          <w:b w:val="1"/>
          <w:bCs w:val="1"/>
          <w:rtl w:val="0"/>
        </w:rPr>
        <w:t xml:space="preserve">"agentes de coaching"</w:t>
      </w:r>
      <w:r w:rsidDel="00000000" w:rsidR="00000000" w:rsidRPr="00000000">
        <w:rPr>
          <w:rtl w:val="0"/>
        </w:rPr>
        <w:t xml:space="preserve">  (analisando 95% das chamadas em vez dos anteriores 3%), a empresa conseguiu  </w:t>
      </w:r>
      <w:r w:rsidDel="00000000" w:rsidR="00000000" w:rsidRPr="00000000">
        <w:rPr>
          <w:b w:val="1"/>
          <w:bCs w:val="1"/>
          <w:rtl w:val="0"/>
        </w:rPr>
        <w:t xml:space="preserve">reduzir o tempo médio das chamadas em 25 por cento</w:t>
      </w:r>
      <w:r w:rsidDel="00000000" w:rsidR="00000000" w:rsidRPr="00000000">
        <w:rPr>
          <w:rtl w:val="0"/>
        </w:rPr>
        <w:t xml:space="preserve"> .</w:t>
      </w:r>
    </w:p>
    <w:p w:rsidR="00000000" w:rsidDel="00000000" w:rsidP="00000000" w:rsidRDefault="00000000" w:rsidRPr="00000000" w14:paraId="0000000A">
      <w:pPr>
        <w:pStyle w:val="Heading5"/>
        <w:rPr/>
      </w:pPr>
      <w:bookmarkStart w:colFirst="0" w:colLast="0" w:name="_rnyrdpf4tp10" w:id="4"/>
      <w:bookmarkEnd w:id="4"/>
      <w:r w:rsidDel="00000000" w:rsidR="00000000" w:rsidRPr="00000000">
        <w:rPr>
          <w:rtl w:val="0"/>
        </w:rPr>
        <w:t xml:space="preserve">2.2 Otimização da Experiência do Cliente e Conversão</w:t>
      </w:r>
    </w:p>
    <w:p w:rsidR="00000000" w:rsidDel="00000000" w:rsidP="00000000" w:rsidRDefault="00000000" w:rsidRPr="00000000" w14:paraId="0000000B">
      <w:pPr>
        <w:rPr/>
      </w:pPr>
      <w:r w:rsidDel="00000000" w:rsidR="00000000" w:rsidRPr="00000000">
        <w:rPr>
          <w:rtl w:val="0"/>
        </w:rPr>
        <w:t xml:space="preserve">A IA agêntica está a permitir uma personalização em escala que se traduz diretamente em melhores taxas de conversão e maior satisfação do cliente.</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 mesma seguradora europeia utilizou agentes de IA para personalizar campanhas em centenas de microssegmentos, resultando em  </w:t>
      </w:r>
      <w:r w:rsidDel="00000000" w:rsidR="00000000" w:rsidRPr="00000000">
        <w:rPr>
          <w:b w:val="1"/>
          <w:bCs w:val="1"/>
          <w:rtl w:val="0"/>
        </w:rPr>
        <w:t xml:space="preserve">taxas de conversão duas a três vezes mais altas</w:t>
      </w:r>
      <w:r w:rsidDel="00000000" w:rsidR="00000000" w:rsidRPr="00000000">
        <w:rPr>
          <w:rtl w:val="0"/>
        </w:rPr>
        <w:t xml:space="preserve"> . Os agentes adaptavam guiões com base nos sinais dos compradores e forneciam feedback em tempo real às equipas de vendas, criando um ciclo de aprendizagem contínuo.</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Uma companhia aérea dos EUA utilizou insights preditivos para personalizar compensações por interrupções de voos, diferenciando entre passageiros frequentes e ocasionais. Os resultados foram impressionantes: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Melhora de  </w:t>
      </w:r>
      <w:r w:rsidDel="00000000" w:rsidR="00000000" w:rsidRPr="00000000">
        <w:rPr>
          <w:b w:val="1"/>
          <w:bCs w:val="1"/>
          <w:rtl w:val="0"/>
        </w:rPr>
        <w:t xml:space="preserve">210%</w:t>
      </w:r>
      <w:r w:rsidDel="00000000" w:rsidR="00000000" w:rsidRPr="00000000">
        <w:rPr>
          <w:rtl w:val="0"/>
        </w:rPr>
        <w:t xml:space="preserve">  na identificação de clientes em risco.</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Aumento de  </w:t>
      </w:r>
      <w:r w:rsidDel="00000000" w:rsidR="00000000" w:rsidRPr="00000000">
        <w:rPr>
          <w:b w:val="1"/>
          <w:bCs w:val="1"/>
          <w:rtl w:val="0"/>
        </w:rPr>
        <w:t xml:space="preserve">800%</w:t>
      </w:r>
      <w:r w:rsidDel="00000000" w:rsidR="00000000" w:rsidRPr="00000000">
        <w:rPr>
          <w:rtl w:val="0"/>
        </w:rPr>
        <w:t xml:space="preserve">  na satisfação do cliente.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Redução de  </w:t>
      </w:r>
      <w:r w:rsidDel="00000000" w:rsidR="00000000" w:rsidRPr="00000000">
        <w:rPr>
          <w:b w:val="1"/>
          <w:bCs w:val="1"/>
          <w:rtl w:val="0"/>
        </w:rPr>
        <w:t xml:space="preserve">59%</w:t>
      </w:r>
      <w:r w:rsidDel="00000000" w:rsidR="00000000" w:rsidRPr="00000000">
        <w:rPr>
          <w:rtl w:val="0"/>
        </w:rPr>
        <w:t xml:space="preserve">  no  </w:t>
      </w:r>
      <w:r w:rsidDel="00000000" w:rsidR="00000000" w:rsidRPr="00000000">
        <w:rPr>
          <w:i w:val="1"/>
          <w:iCs w:val="1"/>
          <w:rtl w:val="0"/>
        </w:rPr>
        <w:t xml:space="preserve">churn</w:t>
      </w:r>
      <w:r w:rsidDel="00000000" w:rsidR="00000000" w:rsidRPr="00000000">
        <w:rPr>
          <w:rtl w:val="0"/>
        </w:rPr>
        <w:t xml:space="preserve">  de viajantes de alto valor.</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Uma construtora de residências dos EUA treinou agentes de vendas de IA para emular os seus melhores vendedores humanos, analisando mais de 500.000 transcrições de vendas. Esta abordagem  </w:t>
      </w:r>
      <w:r w:rsidDel="00000000" w:rsidR="00000000" w:rsidRPr="00000000">
        <w:rPr>
          <w:b w:val="1"/>
          <w:bCs w:val="1"/>
          <w:rtl w:val="0"/>
        </w:rPr>
        <w:t xml:space="preserve">triplicou as taxas de conversão para agendamento</w:t>
      </w:r>
      <w:r w:rsidDel="00000000" w:rsidR="00000000" w:rsidRPr="00000000">
        <w:rPr>
          <w:rtl w:val="0"/>
        </w:rPr>
        <w:t xml:space="preserve">  e  </w:t>
      </w:r>
      <w:r w:rsidDel="00000000" w:rsidR="00000000" w:rsidRPr="00000000">
        <w:rPr>
          <w:b w:val="1"/>
          <w:bCs w:val="1"/>
          <w:rtl w:val="0"/>
        </w:rPr>
        <w:t xml:space="preserve">dobrou os agendamentos semanais</w:t>
      </w:r>
      <w:r w:rsidDel="00000000" w:rsidR="00000000" w:rsidRPr="00000000">
        <w:rPr>
          <w:rtl w:val="0"/>
        </w:rPr>
        <w:t xml:space="preserve"> , com os agentes de melhor desempenho a atingirem paridade com os humanos em métricas como empatia e fluidez da conversação.Estes resultados demonstram que o sucesso não advém da implementação isolada de uma ferramenta, mas sim da sua integração num modelo operacional estruturado, capaz de replicar e escalar este sucesso de forma consistente.</w:t>
      </w:r>
    </w:p>
    <w:p w:rsidR="00000000" w:rsidDel="00000000" w:rsidP="00000000" w:rsidRDefault="00000000" w:rsidRPr="00000000" w14:paraId="00000012">
      <w:pPr>
        <w:pStyle w:val="Heading4"/>
        <w:rPr/>
      </w:pPr>
      <w:bookmarkStart w:colFirst="0" w:colLast="0" w:name="_w3n66i78cd4t" w:id="5"/>
      <w:bookmarkEnd w:id="5"/>
      <w:r w:rsidDel="00000000" w:rsidR="00000000" w:rsidRPr="00000000">
        <w:rPr>
          <w:rtl w:val="0"/>
        </w:rPr>
        <w:t xml:space="preserve">3.0 Modelo Operacional: Quatro Pilares para a Implementação de Sucesso</w:t>
      </w:r>
    </w:p>
    <w:p w:rsidR="00000000" w:rsidDel="00000000" w:rsidP="00000000" w:rsidRDefault="00000000" w:rsidRPr="00000000" w14:paraId="00000013">
      <w:pPr>
        <w:rPr/>
      </w:pPr>
      <w:r w:rsidDel="00000000" w:rsidR="00000000" w:rsidRPr="00000000">
        <w:rPr>
          <w:rtl w:val="0"/>
        </w:rPr>
        <w:t xml:space="preserve">Para transformar o potencial da IA agêntica em desempenho de negócio sustentável, é essencial adotar um framework estratégico. O sucesso não reside na tecnologia por si só, mas na sua integração deliberada nos processos, na cultura e na estrutura da organização. Os quatro pilares seguintes fornecem um guia para construir uma capacidade de crescimento impulsionada por agentes.</w:t>
      </w:r>
    </w:p>
    <w:p w:rsidR="00000000" w:rsidDel="00000000" w:rsidP="00000000" w:rsidRDefault="00000000" w:rsidRPr="00000000" w14:paraId="00000014">
      <w:pPr>
        <w:pStyle w:val="Heading5"/>
        <w:rPr/>
      </w:pPr>
      <w:bookmarkStart w:colFirst="0" w:colLast="0" w:name="_rh2uoxuwzxo1" w:id="6"/>
      <w:bookmarkEnd w:id="6"/>
      <w:r w:rsidDel="00000000" w:rsidR="00000000" w:rsidRPr="00000000">
        <w:rPr>
          <w:rtl w:val="0"/>
        </w:rPr>
        <w:t xml:space="preserve">Pilar 1: Focar nas Áreas de Maior Valor</w:t>
      </w:r>
    </w:p>
    <w:p w:rsidR="00000000" w:rsidDel="00000000" w:rsidP="00000000" w:rsidRDefault="00000000" w:rsidRPr="00000000" w14:paraId="00000015">
      <w:pPr>
        <w:rPr/>
      </w:pPr>
      <w:r w:rsidDel="00000000" w:rsidR="00000000" w:rsidRPr="00000000">
        <w:rPr>
          <w:rtl w:val="0"/>
        </w:rPr>
        <w:t xml:space="preserve">A implementação deve começar onde os agentes podem gerar o maior impacto nos resultados de negócio, seja no aumento da conversão, na precisão da precificação ou no engajamento do cliente. Em vez de uma abordagem dispersa, as empresas devem priorizar casos de uso de alto valor. Por exemplo, a personalização impulsionada por IA pode aumentar a receita em  </w:t>
      </w:r>
      <w:r w:rsidDel="00000000" w:rsidR="00000000" w:rsidRPr="00000000">
        <w:rPr>
          <w:b w:val="1"/>
          <w:bCs w:val="1"/>
          <w:rtl w:val="0"/>
        </w:rPr>
        <w:t xml:space="preserve">5 a 8 por cento</w:t>
      </w:r>
      <w:r w:rsidDel="00000000" w:rsidR="00000000" w:rsidRPr="00000000">
        <w:rPr>
          <w:rtl w:val="0"/>
        </w:rPr>
        <w:t xml:space="preserve"> . Outro exemplo de alto impacto é a precificação dinâmica, já utilizada por companhias aéreas para ajustar ofertas em tempo real com base em sinais como tendências de pesquisa e padrões de reserva, otimizando a receita a cada interação.</w:t>
      </w:r>
    </w:p>
    <w:p w:rsidR="00000000" w:rsidDel="00000000" w:rsidP="00000000" w:rsidRDefault="00000000" w:rsidRPr="00000000" w14:paraId="00000016">
      <w:pPr>
        <w:pStyle w:val="Heading5"/>
        <w:rPr/>
      </w:pPr>
      <w:bookmarkStart w:colFirst="0" w:colLast="0" w:name="_khvvbxwfhhh1" w:id="7"/>
      <w:bookmarkEnd w:id="7"/>
      <w:r w:rsidDel="00000000" w:rsidR="00000000" w:rsidRPr="00000000">
        <w:rPr>
          <w:rtl w:val="0"/>
        </w:rPr>
        <w:t xml:space="preserve">Pilar 2: Reimaginar Fluxos de Trabalho, Não Ferramentas</w:t>
      </w:r>
    </w:p>
    <w:p w:rsidR="00000000" w:rsidDel="00000000" w:rsidP="00000000" w:rsidRDefault="00000000" w:rsidRPr="00000000" w14:paraId="00000017">
      <w:pPr>
        <w:rPr/>
      </w:pPr>
      <w:r w:rsidDel="00000000" w:rsidR="00000000" w:rsidRPr="00000000">
        <w:rPr>
          <w:rtl w:val="0"/>
        </w:rPr>
        <w:t xml:space="preserve">O verdadeiro valor é desbloqueado ao redesenhar processos de ponta a ponta, em vez de simplesmente aplicar agentes a tarefas isoladas. A mentalidade deve ser a de redesenhar o fluxo de trabalho em torno dos agentes, não o contrário. A seguradora europeia exemplifica esta abordagem ao ter re-arquitetado o seu modelo comercial em apenas 16 semanas. Em vez de melhorar passos individuais, a empresa construiu uma rede conectada de agentes que operam ao longo de toda a jornada do cliente, desde a recuperação de informação até ao coaching de vendas, quebrando silos e criando um sistema coeso e de aprendizagem contínua.</w:t>
      </w:r>
    </w:p>
    <w:p w:rsidR="00000000" w:rsidDel="00000000" w:rsidP="00000000" w:rsidRDefault="00000000" w:rsidRPr="00000000" w14:paraId="00000018">
      <w:pPr>
        <w:pStyle w:val="Heading5"/>
        <w:rPr/>
      </w:pPr>
      <w:bookmarkStart w:colFirst="0" w:colLast="0" w:name="_x2jiwl27gwgx" w:id="8"/>
      <w:bookmarkEnd w:id="8"/>
      <w:r w:rsidDel="00000000" w:rsidR="00000000" w:rsidRPr="00000000">
        <w:rPr>
          <w:rtl w:val="0"/>
        </w:rPr>
        <w:t xml:space="preserve">Pilar 3: Construir Agentes Colaborativos, Não Ferramentas Adicionais</w:t>
      </w:r>
    </w:p>
    <w:p w:rsidR="00000000" w:rsidDel="00000000" w:rsidP="00000000" w:rsidRDefault="00000000" w:rsidRPr="00000000" w14:paraId="00000019">
      <w:pPr>
        <w:rPr/>
      </w:pPr>
      <w:r w:rsidDel="00000000" w:rsidR="00000000" w:rsidRPr="00000000">
        <w:rPr>
          <w:rtl w:val="0"/>
        </w:rPr>
        <w:t xml:space="preserve">A escala exige uma mudança de mentalidade: os agentes de IA não são ferramentas adicionais, mas sim parceiros digitais colaborativos. Esta abordagem implica tratá-los como  </w:t>
      </w:r>
      <w:r w:rsidDel="00000000" w:rsidR="00000000" w:rsidRPr="00000000">
        <w:rPr>
          <w:b w:val="1"/>
          <w:bCs w:val="1"/>
          <w:rtl w:val="0"/>
        </w:rPr>
        <w:t xml:space="preserve">"talento gerido"</w:t>
      </w:r>
      <w:r w:rsidDel="00000000" w:rsidR="00000000" w:rsidRPr="00000000">
        <w:rPr>
          <w:rtl w:val="0"/>
        </w:rPr>
        <w:t xml:space="preserve"> ; tal como os membros de uma equipa humana, eles precisam de ter papéis definidos e o seu desempenho deve ser gerido com expectativas claras. Isto requer novas métricas que vão além dos KPIs tradicionais, como  </w:t>
      </w:r>
      <w:r w:rsidDel="00000000" w:rsidR="00000000" w:rsidRPr="00000000">
        <w:rPr>
          <w:b w:val="1"/>
          <w:bCs w:val="1"/>
          <w:rtl w:val="0"/>
        </w:rPr>
        <w:t xml:space="preserve">qualidade da conversação</w:t>
      </w:r>
      <w:r w:rsidDel="00000000" w:rsidR="00000000" w:rsidRPr="00000000">
        <w:rPr>
          <w:rtl w:val="0"/>
        </w:rPr>
        <w:t xml:space="preserve"> ,  </w:t>
      </w:r>
      <w:r w:rsidDel="00000000" w:rsidR="00000000" w:rsidRPr="00000000">
        <w:rPr>
          <w:b w:val="1"/>
          <w:bCs w:val="1"/>
          <w:rtl w:val="0"/>
        </w:rPr>
        <w:t xml:space="preserve">precisão na conclusão de tarefas</w:t>
      </w:r>
      <w:r w:rsidDel="00000000" w:rsidR="00000000" w:rsidRPr="00000000">
        <w:rPr>
          <w:rtl w:val="0"/>
        </w:rPr>
        <w:t xml:space="preserve">  e  </w:t>
      </w:r>
      <w:r w:rsidDel="00000000" w:rsidR="00000000" w:rsidRPr="00000000">
        <w:rPr>
          <w:b w:val="1"/>
          <w:bCs w:val="1"/>
          <w:rtl w:val="0"/>
        </w:rPr>
        <w:t xml:space="preserve">velocidade de aprendizagem</w:t>
      </w:r>
      <w:r w:rsidDel="00000000" w:rsidR="00000000" w:rsidRPr="00000000">
        <w:rPr>
          <w:rtl w:val="0"/>
        </w:rPr>
        <w:t xml:space="preserve"> . A construtora de residências dos EUA aplicou este princípio ao medir o desempenho dos seus agentes de IA em relação a baselines humanos, avaliando métricas como empatia e fluidez, e utilizando dashboards para identificar pontos de melhoria e otimizar rapidamente o seu desempenho.</w:t>
      </w:r>
    </w:p>
    <w:p w:rsidR="00000000" w:rsidDel="00000000" w:rsidP="00000000" w:rsidRDefault="00000000" w:rsidRPr="00000000" w14:paraId="0000001A">
      <w:pPr>
        <w:pStyle w:val="Heading5"/>
        <w:rPr/>
      </w:pPr>
      <w:bookmarkStart w:colFirst="0" w:colLast="0" w:name="_xizw8apnc3ul" w:id="9"/>
      <w:bookmarkEnd w:id="9"/>
      <w:r w:rsidDel="00000000" w:rsidR="00000000" w:rsidRPr="00000000">
        <w:rPr>
          <w:rtl w:val="0"/>
        </w:rPr>
        <w:t xml:space="preserve">Pilar 4: Construir a Organização de Crescimento Agêntica</w:t>
      </w:r>
    </w:p>
    <w:p w:rsidR="00000000" w:rsidDel="00000000" w:rsidP="00000000" w:rsidRDefault="00000000" w:rsidRPr="00000000" w14:paraId="0000001B">
      <w:pPr>
        <w:rPr/>
      </w:pPr>
      <w:r w:rsidDel="00000000" w:rsidR="00000000" w:rsidRPr="00000000">
        <w:rPr>
          <w:rtl w:val="0"/>
        </w:rPr>
        <w:t xml:space="preserve">A integração de agentes que operam através de funções tradicionais como marketing, vendas e serviço ao cliente exige um novo modelo operacional híbrido humano-IA. Os silos funcionais dão lugar a um sistema integrado onde as equipas se tornam multifuncionais por design. Neste modelo, os agentes são reutilizados entre as diferentes funções (por exemplo, um agente que extrai dados de clientes pode apoiar tanto o planeamento de campanhas como o atendimento pós-venda), promovendo a eficiência e a consistência.A construção de uma organização agêntica, conforme detalhado no quarto pilar, é a chave para a escala e sustentabilidade, exigindo uma nova abordagem à estrutura organizacional e à governança.</w:t>
      </w:r>
    </w:p>
    <w:p w:rsidR="00000000" w:rsidDel="00000000" w:rsidP="00000000" w:rsidRDefault="00000000" w:rsidRPr="00000000" w14:paraId="0000001C">
      <w:pPr>
        <w:pStyle w:val="Heading4"/>
        <w:rPr/>
      </w:pPr>
      <w:bookmarkStart w:colFirst="0" w:colLast="0" w:name="_yf4i7afdgnw7" w:id="10"/>
      <w:bookmarkEnd w:id="10"/>
      <w:r w:rsidDel="00000000" w:rsidR="00000000" w:rsidRPr="00000000">
        <w:rPr>
          <w:rtl w:val="0"/>
        </w:rPr>
        <w:t xml:space="preserve">4.0 Estrutura Organizacional e Governança para Escala</w:t>
      </w:r>
    </w:p>
    <w:p w:rsidR="00000000" w:rsidDel="00000000" w:rsidP="00000000" w:rsidRDefault="00000000" w:rsidRPr="00000000" w14:paraId="0000001D">
      <w:pPr>
        <w:rPr/>
      </w:pPr>
      <w:r w:rsidDel="00000000" w:rsidR="00000000" w:rsidRPr="00000000">
        <w:rPr>
          <w:rtl w:val="0"/>
        </w:rPr>
        <w:t xml:space="preserve">A ausência de uma governança robusta e de uma arquitetura centralizada pode levar rapidamente ao  </w:t>
      </w:r>
      <w:r w:rsidDel="00000000" w:rsidR="00000000" w:rsidRPr="00000000">
        <w:rPr>
          <w:b w:val="1"/>
          <w:bCs w:val="1"/>
          <w:rtl w:val="0"/>
        </w:rPr>
        <w:t xml:space="preserve">"caos de agentes"</w:t>
      </w:r>
      <w:r w:rsidDel="00000000" w:rsidR="00000000" w:rsidRPr="00000000">
        <w:rPr>
          <w:rtl w:val="0"/>
        </w:rPr>
        <w:t xml:space="preserve"> : a construção de agentes redundantes, qualidade inconsistente e riscos não geridos que minam o valor da tecnologia. Para escalar com eficácia e controlo, as organizações líderes estão a implementar uma arquitetura agêntica deliberada e a criar "fábricas de agentes" como solução estratégica.Estas  </w:t>
      </w:r>
      <w:r w:rsidDel="00000000" w:rsidR="00000000" w:rsidRPr="00000000">
        <w:rPr>
          <w:b w:val="1"/>
          <w:bCs w:val="1"/>
          <w:rtl w:val="0"/>
        </w:rPr>
        <w:t xml:space="preserve">"Fábricas de Agentes"</w:t>
      </w:r>
      <w:r w:rsidDel="00000000" w:rsidR="00000000" w:rsidRPr="00000000">
        <w:rPr>
          <w:rtl w:val="0"/>
        </w:rPr>
        <w:t xml:space="preserve">  funcionam como centros dedicados que industrializam a construção, implantação e governança de agentes. Elas estabelecem blueprints reutilizáveis, produtos de dados partilhados e salvaguardas de segurança e conformidade, garantindo que os agentes sejam desenvolvidos de forma padronizada e segura. Vários bancos globais, por exemplo, já implementaram fábricas de agentes para transformar os seus processos de  </w:t>
      </w:r>
      <w:r w:rsidDel="00000000" w:rsidR="00000000" w:rsidRPr="00000000">
        <w:rPr>
          <w:i w:val="1"/>
          <w:iCs w:val="1"/>
          <w:rtl w:val="0"/>
        </w:rPr>
        <w:t xml:space="preserve">due diligence</w:t>
      </w:r>
      <w:r w:rsidDel="00000000" w:rsidR="00000000" w:rsidRPr="00000000">
        <w:rPr>
          <w:rtl w:val="0"/>
        </w:rPr>
        <w:t xml:space="preserve"> , utilizando esquadrões de agentes para gerir passos discretos do fluxo de trabalho, desde a extração de dados até à garantia de qualidade, reduzindo o trabalho manual e aumentando a precisão.Dentro desta nova estrutura, emerge um  </w:t>
      </w:r>
      <w:r w:rsidDel="00000000" w:rsidR="00000000" w:rsidRPr="00000000">
        <w:rPr>
          <w:b w:val="1"/>
          <w:bCs w:val="1"/>
          <w:rtl w:val="0"/>
        </w:rPr>
        <w:t xml:space="preserve">Modelo Operacional Híbrido Humano-IA</w:t>
      </w:r>
      <w:r w:rsidDel="00000000" w:rsidR="00000000" w:rsidRPr="00000000">
        <w:rPr>
          <w:rtl w:val="0"/>
        </w:rPr>
        <w:t xml:space="preserve"> , onde as responsabilidades são claramente redefinidas: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Agentes de IA:</w:t>
      </w:r>
      <w:r w:rsidDel="00000000" w:rsidR="00000000" w:rsidRPr="00000000">
        <w:rPr>
          <w:rtl w:val="0"/>
        </w:rPr>
        <w:t xml:space="preserve">  Assumem a responsabilidade pela orquestração e execução de tarefas, coordenando atividades entre equipas e funções para garantir consistência e velocidade.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Humanos:</w:t>
      </w:r>
      <w:r w:rsidDel="00000000" w:rsidR="00000000" w:rsidRPr="00000000">
        <w:rPr>
          <w:rtl w:val="0"/>
        </w:rPr>
        <w:t xml:space="preserve">  O seu papel evolui para se focarem em atividades de maior valor, como estratégia, criatividade, supervisão dos agentes, gestão de exceções e orientação dos ciclos de aprendizagem para refinar o desempenho do sistema.Esta transição exige uma evolução das competências humanas. Competências emergentes como  </w:t>
      </w:r>
      <w:r w:rsidDel="00000000" w:rsidR="00000000" w:rsidRPr="00000000">
        <w:rPr>
          <w:b w:val="1"/>
          <w:bCs w:val="1"/>
          <w:rtl w:val="0"/>
        </w:rPr>
        <w:t xml:space="preserve">design de prompts, acompanhamento de resultados e gestão de escalonamentos</w:t>
      </w:r>
      <w:r w:rsidDel="00000000" w:rsidR="00000000" w:rsidRPr="00000000">
        <w:rPr>
          <w:rtl w:val="0"/>
        </w:rPr>
        <w:t xml:space="preserve">  estão a tornar-se centrais para as funções de crescimento modernas. A importância desta adaptação é tal que muitas organizações já definiram como meta que  </w:t>
      </w:r>
      <w:r w:rsidDel="00000000" w:rsidR="00000000" w:rsidRPr="00000000">
        <w:rPr>
          <w:b w:val="1"/>
          <w:bCs w:val="1"/>
          <w:rtl w:val="0"/>
        </w:rPr>
        <w:t xml:space="preserve">25 a 50 por cento dos seus funcionários trabalhem regularmente com IA agêntica</w:t>
      </w:r>
      <w:r w:rsidDel="00000000" w:rsidR="00000000" w:rsidRPr="00000000">
        <w:rPr>
          <w:rtl w:val="0"/>
        </w:rPr>
        <w:t xml:space="preserve"> , sinalizando que a fluência na colaboração com a IA está a tornar-se uma capacidade de negócio definidora.A combinação de uma estrutura de governança forte com o desenvolvimento de novas competências humanas é, portanto, o alicerce para transformar o potencial da IA agêntica em vantagem competitiva duradoura.</w:t>
      </w:r>
    </w:p>
    <w:p w:rsidR="00000000" w:rsidDel="00000000" w:rsidP="00000000" w:rsidRDefault="00000000" w:rsidRPr="00000000" w14:paraId="00000020">
      <w:pPr>
        <w:pStyle w:val="Heading4"/>
        <w:rPr/>
      </w:pPr>
      <w:bookmarkStart w:colFirst="0" w:colLast="0" w:name="_24ynm41al7mc" w:id="11"/>
      <w:bookmarkEnd w:id="11"/>
      <w:r w:rsidDel="00000000" w:rsidR="00000000" w:rsidRPr="00000000">
        <w:rPr>
          <w:rtl w:val="0"/>
        </w:rPr>
        <w:t xml:space="preserve">5.0 Conclusão: Implicações Estratégicas para a Liderança</w:t>
      </w:r>
    </w:p>
    <w:p w:rsidR="00000000" w:rsidDel="00000000" w:rsidP="00000000" w:rsidRDefault="00000000" w:rsidRPr="00000000" w14:paraId="00000021">
      <w:pPr>
        <w:rPr/>
      </w:pPr>
      <w:r w:rsidDel="00000000" w:rsidR="00000000" w:rsidRPr="00000000">
        <w:rPr>
          <w:rtl w:val="0"/>
        </w:rPr>
        <w:t xml:space="preserve">Este relatório demonstra que a vantagem competitiva na era da IA não virá do número de agentes que uma empresa implementa, mas sim da eficácia com que esses agentes são projetados, geridos e integrados no tecido organizacional. As empresas que estão a liderar já estão a colocar em prática novas mentalidades e modelos operacionais para capitalizar esta transformação. No entanto, este é apenas o início, e questões estratégicas de longo prazo já se perfilam no horizonte, exigindo a atenção da liderança.Os líderes devem começar a preparar-se para um futuro onde a interação de negócio será mediada por IA, colocando as seguintes questões:</w:t>
      </w:r>
    </w:p>
    <w:p w:rsidR="00000000" w:rsidDel="00000000" w:rsidP="00000000" w:rsidRDefault="00000000" w:rsidRPr="00000000" w14:paraId="00000022">
      <w:pPr>
        <w:numPr>
          <w:ilvl w:val="0"/>
          <w:numId w:val="3"/>
        </w:numPr>
        <w:ind w:left="720" w:hanging="360"/>
        <w:rPr>
          <w:i w:val="1"/>
          <w:iCs w:val="1"/>
          <w:u w:val="none"/>
        </w:rPr>
      </w:pPr>
      <w:r w:rsidDel="00000000" w:rsidR="00000000" w:rsidRPr="00000000">
        <w:rPr>
          <w:i w:val="1"/>
          <w:iCs w:val="1"/>
          <w:rtl w:val="0"/>
        </w:rPr>
        <w:t xml:space="preserve">Quando o nosso agente de vendas negociar com o agente de compras do cliente, como a nossa empresa se diferenciará?</w:t>
      </w:r>
    </w:p>
    <w:p w:rsidR="00000000" w:rsidDel="00000000" w:rsidP="00000000" w:rsidRDefault="00000000" w:rsidRPr="00000000" w14:paraId="00000023">
      <w:pPr>
        <w:numPr>
          <w:ilvl w:val="0"/>
          <w:numId w:val="3"/>
        </w:numPr>
        <w:ind w:left="720" w:hanging="360"/>
        <w:rPr>
          <w:i w:val="1"/>
          <w:iCs w:val="1"/>
        </w:rPr>
      </w:pPr>
      <w:r w:rsidDel="00000000" w:rsidR="00000000" w:rsidRPr="00000000">
        <w:rPr>
          <w:i w:val="1"/>
          <w:iCs w:val="1"/>
          <w:rtl w:val="0"/>
        </w:rPr>
        <w:t xml:space="preserve">Se a execução se tornar uma commodity, o que a nossa marca representará?</w:t>
      </w:r>
    </w:p>
    <w:p w:rsidR="00000000" w:rsidDel="00000000" w:rsidP="00000000" w:rsidRDefault="00000000" w:rsidRPr="00000000" w14:paraId="00000024">
      <w:pPr>
        <w:numPr>
          <w:ilvl w:val="0"/>
          <w:numId w:val="3"/>
        </w:numPr>
        <w:ind w:left="720" w:hanging="360"/>
        <w:rPr>
          <w:u w:val="none"/>
        </w:rPr>
      </w:pPr>
      <w:r w:rsidDel="00000000" w:rsidR="00000000" w:rsidRPr="00000000">
        <w:rPr>
          <w:i w:val="1"/>
          <w:iCs w:val="1"/>
          <w:rtl w:val="0"/>
        </w:rPr>
        <w:t xml:space="preserve">À medida que os fluxos de trabalho atravessam os silos funcionais, como garantiremos a responsabilidade e o controlo?</w:t>
      </w:r>
      <w:r w:rsidDel="00000000" w:rsidR="00000000" w:rsidRPr="00000000">
        <w:rPr>
          <w:rtl w:val="0"/>
        </w:rPr>
        <w:t xml:space="preserve">A questão fundamental para os líderes está a mudar rapidamente de "o que este agente pode fazer por nós?" para "que resultados estou preparado para entregar com ele?". A urgência reside em incorporar a IA agêntica nas operações de marketing, vendas e suporte agora. Ao fazê-lo, as organizações não só colherão os benefícios imediatos em termos de crescimento e eficiência, mas também construirão a resiliência e a visão necessárias para definir e liderar o mercado de amanhã.</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