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40"/>
        <w:jc w:val="center"/>
      </w:pPr>
      <w:r>
        <w:rPr>
          <w:rFonts w:ascii="Arial" w:cs="Arial" w:eastAsia="Arial" w:hAnsi="Arial"/>
          <w:b/>
          <w:bCs/>
          <w:color w:val="1F4E79"/>
          <w:sz w:val="80"/>
          <w:szCs w:val="80"/>
        </w:rPr>
        <w:t xml:space="preserve">OBSERVA4J</w:t>
      </w:r>
    </w:p>
    <w:p>
      <w:pPr>
        <w:spacing w:before="0" w:after="120"/>
        <w:jc w:val="center"/>
      </w:pPr>
      <w:r>
        <w:rPr>
          <w:rFonts w:ascii="Arial" w:cs="Arial" w:eastAsia="Arial" w:hAnsi="Arial"/>
          <w:color w:val="2E75B6"/>
          <w:sz w:val="32"/>
          <w:szCs w:val="32"/>
        </w:rPr>
        <w:t xml:space="preserve">Observability Library for Java 21 + Quarkus</w:t>
      </w:r>
    </w:p>
    <w:p>
      <w:pPr>
        <w:spacing w:before="120" w:after="60"/>
        <w:jc w:val="center"/>
      </w:pPr>
      <w:r>
        <w:rPr>
          <w:rFonts w:ascii="Arial" w:cs="Arial" w:eastAsia="Arial" w:hAnsi="Arial"/>
          <w:b/>
          <w:bCs/>
          <w:color w:val="444444"/>
          <w:sz w:val="26"/>
          <w:szCs w:val="26"/>
        </w:rPr>
        <w:t xml:space="preserve">Vision Document</w:t>
      </w:r>
    </w:p>
    <w:p>
      <w:pPr>
        <w:spacing w:before="60" w:after="60"/>
        <w:jc w:val="center"/>
      </w:pPr>
      <w:r>
        <w:rPr>
          <w:rFonts w:ascii="Arial" w:cs="Arial" w:eastAsia="Arial" w:hAnsi="Arial"/>
          <w:color w:val="888888"/>
          <w:sz w:val="22"/>
          <w:szCs w:val="22"/>
        </w:rPr>
        <w:t xml:space="preserve">Version 0.1 — DRAFT</w:t>
      </w:r>
    </w:p>
    <w:p>
      <w:pPr>
        <w:spacing w:before="60" w:after="1440"/>
        <w:jc w:val="center"/>
      </w:pPr>
      <w:r>
        <w:rPr>
          <w:rFonts w:ascii="Arial" w:cs="Arial" w:eastAsia="Arial" w:hAnsi="Arial"/>
          <w:color w:val="888888"/>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jc w:val="center"/>
            </w:pPr>
            <w:r>
              <w:rPr>
                <w:rFonts w:ascii="Arial" w:cs="Arial" w:eastAsia="Arial" w:hAnsi="Arial"/>
                <w:b/>
                <w:bCs/>
                <w:color w:val="FFFFFF"/>
                <w:sz w:val="20"/>
                <w:szCs w:val="20"/>
              </w:rPr>
              <w:t xml:space="preserve">Structured
Logging</w:t>
            </w:r>
          </w:p>
        </w:tc>
        <w:tc>
          <w:tcPr>
            <w:tcW w:type="dxa" w:w="2340"/>
            <w:tcBorders>
              <w:top w:val="none" w:color="FFFFFF" w:sz="0"/>
              <w:left w:val="none" w:color="FFFFFF" w:sz="0"/>
              <w:bottom w:val="none" w:color="FFFFFF" w:sz="0"/>
              <w:right w:val="none" w:color="FFFFFF" w:sz="0"/>
            </w:tcBorders>
            <w:shd w:fill="2E75B6" w:val="clear"/>
            <w:tcMar>
              <w:top w:type="dxa" w:w="160"/>
              <w:left w:type="dxa" w:w="180"/>
              <w:bottom w:type="dxa" w:w="160"/>
              <w:right w:type="dxa" w:w="180"/>
            </w:tcMar>
          </w:tcPr>
          <w:p>
            <w:pPr>
              <w:jc w:val="center"/>
            </w:pPr>
            <w:r>
              <w:rPr>
                <w:rFonts w:ascii="Arial" w:cs="Arial" w:eastAsia="Arial" w:hAnsi="Arial"/>
                <w:b/>
                <w:bCs/>
                <w:color w:val="FFFFFF"/>
                <w:sz w:val="20"/>
                <w:szCs w:val="20"/>
              </w:rPr>
              <w:t xml:space="preserve">Distributed
Tracing</w:t>
            </w:r>
          </w:p>
        </w:tc>
        <w:tc>
          <w:tcPr>
            <w:tcW w:type="dxa" w:w="234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jc w:val="center"/>
            </w:pPr>
            <w:r>
              <w:rPr>
                <w:rFonts w:ascii="Arial" w:cs="Arial" w:eastAsia="Arial" w:hAnsi="Arial"/>
                <w:b/>
                <w:bCs/>
                <w:color w:val="FFFFFF"/>
                <w:sz w:val="20"/>
                <w:szCs w:val="20"/>
              </w:rPr>
              <w:t xml:space="preserve">Telemetry &amp;
Metrics</w:t>
            </w:r>
          </w:p>
        </w:tc>
        <w:tc>
          <w:tcPr>
            <w:tcW w:type="dxa" w:w="2340"/>
            <w:tcBorders>
              <w:top w:val="none" w:color="FFFFFF" w:sz="0"/>
              <w:left w:val="none" w:color="FFFFFF" w:sz="0"/>
              <w:bottom w:val="none" w:color="FFFFFF" w:sz="0"/>
              <w:right w:val="none" w:color="FFFFFF" w:sz="0"/>
            </w:tcBorders>
            <w:shd w:fill="2E75B6" w:val="clear"/>
            <w:tcMar>
              <w:top w:type="dxa" w:w="160"/>
              <w:left w:type="dxa" w:w="180"/>
              <w:bottom w:type="dxa" w:w="160"/>
              <w:right w:type="dxa" w:w="180"/>
            </w:tcMar>
          </w:tcPr>
          <w:p>
            <w:pPr>
              <w:jc w:val="center"/>
            </w:pPr>
            <w:r>
              <w:rPr>
                <w:rFonts w:ascii="Arial" w:cs="Arial" w:eastAsia="Arial" w:hAnsi="Arial"/>
                <w:b/>
                <w:bCs/>
                <w:color w:val="FFFFFF"/>
                <w:sz w:val="20"/>
                <w:szCs w:val="20"/>
              </w:rPr>
              <w:t xml:space="preserve">Audit &amp;
Compliance</w:t>
            </w:r>
          </w:p>
        </w:tc>
      </w:tr>
    </w:tbl>
    <w:p>
      <w:pPr>
        <w:spacing w:before="1440" w:after="0"/>
      </w:pPr>
      <w:r>
        <w:t xml:space="preserve"/>
      </w:r>
    </w:p>
    <w:p>
      <w:r>
        <w:br w:type="pag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1. Introduction</w:t>
      </w:r>
    </w:p>
    <w:p>
      <w:pPr>
        <w:spacing w:before="80" w:after="0"/>
      </w:pPr>
      <w:r>
        <w:t xml:space="preserve"/>
      </w:r>
    </w:p>
    <w:p>
      <w:pPr>
        <w:spacing w:before="60" w:after="80"/>
      </w:pPr>
      <w:r>
        <w:rPr>
          <w:rFonts w:ascii="Arial" w:cs="Arial" w:eastAsia="Arial" w:hAnsi="Arial"/>
          <w:sz w:val="22"/>
          <w:szCs w:val="22"/>
        </w:rPr>
        <w:t xml:space="preserve">This document describes the vision for OBSERVA4J — a Java 21 module designed to provide unified, structured, and context-aware observability capabilities to Quarkus 3.x microservices. It consolidates the four pillars of modern observability — Logging, Distributed Tracing, Telemetry/Metrics, and Audit — into a single, cohesive library with a minimal and opinionated API surface.</w:t>
      </w:r>
    </w:p>
    <w:p>
      <w:pPr>
        <w:spacing w:before="80" w:after="0"/>
      </w:pPr>
      <w:r>
        <w:t xml:space="preserve"/>
      </w:r>
    </w:p>
    <w:p>
      <w:pPr>
        <w:spacing w:before="60" w:after="80"/>
      </w:pPr>
      <w:r>
        <w:rPr>
          <w:rFonts w:ascii="Arial" w:cs="Arial" w:eastAsia="Arial" w:hAnsi="Arial"/>
          <w:sz w:val="22"/>
          <w:szCs w:val="22"/>
        </w:rPr>
        <w:t xml:space="preserve">The document draws from the following sources:</w:t>
      </w:r>
    </w:p>
    <w:p>
      <w:pPr>
        <w:pStyle w:val="ListParagraph"/>
        <w:numPr>
          <w:ilvl w:val="0"/>
          <w:numId w:val="2"/>
        </w:numPr>
        <w:spacing w:before="40" w:after="40"/>
      </w:pPr>
      <w:r>
        <w:rPr>
          <w:rFonts w:ascii="Arial" w:cs="Arial" w:eastAsia="Arial" w:hAnsi="Arial"/>
          <w:sz w:val="22"/>
          <w:szCs w:val="22"/>
        </w:rPr>
        <w:t xml:space="preserve">Taylor Scott's talk at SolidusConf 2020 on structured application logging and the 5 Ws framework</w:t>
      </w:r>
    </w:p>
    <w:p>
      <w:pPr>
        <w:pStyle w:val="ListParagraph"/>
        <w:numPr>
          <w:ilvl w:val="0"/>
          <w:numId w:val="2"/>
        </w:numPr>
        <w:spacing w:before="40" w:after="40"/>
      </w:pPr>
      <w:r>
        <w:rPr>
          <w:rFonts w:ascii="Arial" w:cs="Arial" w:eastAsia="Arial" w:hAnsi="Arial"/>
          <w:sz w:val="22"/>
          <w:szCs w:val="22"/>
        </w:rPr>
        <w:t xml:space="preserve">The Microservices Observability Patterns published at microservices.io by Chris Richardson</w:t>
      </w:r>
    </w:p>
    <w:p>
      <w:pPr>
        <w:pStyle w:val="ListParagraph"/>
        <w:numPr>
          <w:ilvl w:val="0"/>
          <w:numId w:val="2"/>
        </w:numPr>
        <w:spacing w:before="40" w:after="40"/>
      </w:pPr>
      <w:r>
        <w:rPr>
          <w:rFonts w:ascii="Arial" w:cs="Arial" w:eastAsia="Arial" w:hAnsi="Arial"/>
          <w:sz w:val="22"/>
          <w:szCs w:val="22"/>
        </w:rPr>
        <w:t xml:space="preserve">Reference implementations from the java-design-patterns project by Iluwatar</w:t>
      </w:r>
    </w:p>
    <w:p>
      <w:pPr>
        <w:pStyle w:val="ListParagraph"/>
        <w:numPr>
          <w:ilvl w:val="0"/>
          <w:numId w:val="2"/>
        </w:numPr>
        <w:spacing w:before="40" w:after="40"/>
      </w:pPr>
      <w:r>
        <w:rPr>
          <w:rFonts w:ascii="Arial" w:cs="Arial" w:eastAsia="Arial" w:hAnsi="Arial"/>
          <w:sz w:val="22"/>
          <w:szCs w:val="22"/>
        </w:rPr>
        <w:t xml:space="preserve">The OpenTelemetry and OpenTracing community standards</w:t>
      </w:r>
    </w:p>
    <w:p>
      <w:pPr>
        <w:spacing w:before="120" w:after="0"/>
      </w:pPr>
      <w:r>
        <w:t xml:space="preserv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2. Project Context</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2.1 The Problem the Library Seeks to Solve</w:t>
      </w:r>
    </w:p>
    <w:p>
      <w:pPr>
        <w:spacing w:before="60" w:after="80"/>
      </w:pPr>
      <w:r>
        <w:rPr>
          <w:rFonts w:ascii="Arial" w:cs="Arial" w:eastAsia="Arial" w:hAnsi="Arial"/>
          <w:sz w:val="22"/>
          <w:szCs w:val="22"/>
        </w:rPr>
        <w:t xml:space="preserve">Modern applications built on microservice architectures face a fundamental observability challenge: individual services generate fragmented, inconsistent, and often unqueryable diagnostic data. The status quo results in the following concrete problems:</w:t>
      </w:r>
    </w:p>
    <w:p>
      <w:pPr>
        <w:spacing w:before="60" w:after="0"/>
      </w:pPr>
      <w:r>
        <w:t xml:space="preserve"/>
      </w:r>
    </w:p>
    <w:p>
      <w:pPr>
        <w:pStyle w:val="ListParagraph"/>
        <w:numPr>
          <w:ilvl w:val="0"/>
          <w:numId w:val="2"/>
        </w:numPr>
        <w:spacing w:before="40" w:after="40"/>
      </w:pPr>
      <w:r>
        <w:rPr>
          <w:rFonts w:ascii="Arial" w:cs="Arial" w:eastAsia="Arial" w:hAnsi="Arial"/>
          <w:b/>
          <w:bCs/>
          <w:color w:val="1F4E79"/>
          <w:sz w:val="22"/>
          <w:szCs w:val="22"/>
        </w:rPr>
        <w:t xml:space="preserve">Log walls: </w:t>
      </w:r>
      <w:r>
        <w:rPr>
          <w:rFonts w:ascii="Arial" w:cs="Arial" w:eastAsia="Arial" w:hAnsi="Arial"/>
          <w:sz w:val="22"/>
          <w:szCs w:val="22"/>
        </w:rPr>
        <w:t xml:space="preserve">Services write plain-text log lines with no structure, making machine parsing and aggregation impossible or unreliable.</w:t>
      </w:r>
    </w:p>
    <w:p>
      <w:pPr>
        <w:pStyle w:val="ListParagraph"/>
        <w:numPr>
          <w:ilvl w:val="0"/>
          <w:numId w:val="2"/>
        </w:numPr>
        <w:spacing w:before="40" w:after="40"/>
      </w:pPr>
      <w:r>
        <w:rPr>
          <w:rFonts w:ascii="Arial" w:cs="Arial" w:eastAsia="Arial" w:hAnsi="Arial"/>
          <w:b/>
          <w:bCs/>
          <w:color w:val="1F4E79"/>
          <w:sz w:val="22"/>
          <w:szCs w:val="22"/>
        </w:rPr>
        <w:t xml:space="preserve">Missing context: </w:t>
      </w:r>
      <w:r>
        <w:rPr>
          <w:rFonts w:ascii="Arial" w:cs="Arial" w:eastAsia="Arial" w:hAnsi="Arial"/>
          <w:sz w:val="22"/>
          <w:szCs w:val="22"/>
        </w:rPr>
        <w:t xml:space="preserve">Log entries lack identity (who triggered the event?), spatial context (which service and queue?), and causal context (why did this happen?), making post-incident investigation rely on guesswork.</w:t>
      </w:r>
    </w:p>
    <w:p>
      <w:pPr>
        <w:pStyle w:val="ListParagraph"/>
        <w:numPr>
          <w:ilvl w:val="0"/>
          <w:numId w:val="2"/>
        </w:numPr>
        <w:spacing w:before="40" w:after="40"/>
      </w:pPr>
      <w:r>
        <w:rPr>
          <w:rFonts w:ascii="Arial" w:cs="Arial" w:eastAsia="Arial" w:hAnsi="Arial"/>
          <w:b/>
          <w:bCs/>
          <w:color w:val="1F4E79"/>
          <w:sz w:val="22"/>
          <w:szCs w:val="22"/>
        </w:rPr>
        <w:t xml:space="preserve">Trace fragmentation: </w:t>
      </w:r>
      <w:r>
        <w:rPr>
          <w:rFonts w:ascii="Arial" w:cs="Arial" w:eastAsia="Arial" w:hAnsi="Arial"/>
          <w:sz w:val="22"/>
          <w:szCs w:val="22"/>
        </w:rPr>
        <w:t xml:space="preserve">In a distributed system with dozens of services, a single user request may generate log entries in ten different services. Without a shared correlation identifier, these entries cannot be stitched together into a coherent timeline.</w:t>
      </w:r>
    </w:p>
    <w:p>
      <w:pPr>
        <w:pStyle w:val="ListParagraph"/>
        <w:numPr>
          <w:ilvl w:val="0"/>
          <w:numId w:val="2"/>
        </w:numPr>
        <w:spacing w:before="40" w:after="40"/>
      </w:pPr>
      <w:r>
        <w:rPr>
          <w:rFonts w:ascii="Arial" w:cs="Arial" w:eastAsia="Arial" w:hAnsi="Arial"/>
          <w:b/>
          <w:bCs/>
          <w:color w:val="1F4E79"/>
          <w:sz w:val="22"/>
          <w:szCs w:val="22"/>
        </w:rPr>
        <w:t xml:space="preserve">Observability and business logic entanglement: </w:t>
      </w:r>
      <w:r>
        <w:rPr>
          <w:rFonts w:ascii="Arial" w:cs="Arial" w:eastAsia="Arial" w:hAnsi="Arial"/>
          <w:sz w:val="22"/>
          <w:szCs w:val="22"/>
        </w:rPr>
        <w:t xml:space="preserve">Per microservices.io, both metrics instrumentation and audit logging tend to become tightly coupled to business logic, increasing cognitive complexity and maintenance burden.</w:t>
      </w:r>
    </w:p>
    <w:p>
      <w:pPr>
        <w:pStyle w:val="ListParagraph"/>
        <w:numPr>
          <w:ilvl w:val="0"/>
          <w:numId w:val="2"/>
        </w:numPr>
        <w:spacing w:before="40" w:after="40"/>
      </w:pPr>
      <w:r>
        <w:rPr>
          <w:rFonts w:ascii="Arial" w:cs="Arial" w:eastAsia="Arial" w:hAnsi="Arial"/>
          <w:b/>
          <w:bCs/>
          <w:color w:val="1F4E79"/>
          <w:sz w:val="22"/>
          <w:szCs w:val="22"/>
        </w:rPr>
        <w:t xml:space="preserve">Reactive vs. proactive monitoring: </w:t>
      </w:r>
      <w:r>
        <w:rPr>
          <w:rFonts w:ascii="Arial" w:cs="Arial" w:eastAsia="Arial" w:hAnsi="Arial"/>
          <w:sz w:val="22"/>
          <w:szCs w:val="22"/>
        </w:rPr>
        <w:t xml:space="preserve">Teams discover production problems only after user reports, rather than through automated anomaly detection over structured telemetry data.</w:t>
      </w:r>
    </w:p>
    <w:p>
      <w:pPr>
        <w:pStyle w:val="ListParagraph"/>
        <w:numPr>
          <w:ilvl w:val="0"/>
          <w:numId w:val="2"/>
        </w:numPr>
        <w:spacing w:before="40" w:after="40"/>
      </w:pPr>
      <w:r>
        <w:rPr>
          <w:rFonts w:ascii="Arial" w:cs="Arial" w:eastAsia="Arial" w:hAnsi="Arial"/>
          <w:b/>
          <w:bCs/>
          <w:color w:val="1F4E79"/>
          <w:sz w:val="22"/>
          <w:szCs w:val="22"/>
        </w:rPr>
        <w:t xml:space="preserve">Exception loss: </w:t>
      </w:r>
      <w:r>
        <w:rPr>
          <w:rFonts w:ascii="Arial" w:cs="Arial" w:eastAsia="Arial" w:hAnsi="Arial"/>
          <w:sz w:val="22"/>
          <w:szCs w:val="22"/>
        </w:rPr>
        <w:t xml:space="preserve">Exceptions are logged but not de-duplicated, tracked, or routed to a notification system, resulting in silent degradation.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2E75B6" w:val="clear"/>
          </w:tcPr>
          <w:p>
            <w:r>
              <w:rPr>
                <w:rFonts w:ascii="Arial" w:cs="Arial" w:eastAsia="Arial" w:hAnsi="Arial"/>
                <w:color w:val="FFFFFF"/>
                <w:sz w:val="22"/>
                <w:szCs w:val="22"/>
              </w:rPr>
              <w:t xml:space="preserve">ℹ</w:t>
            </w:r>
          </w:p>
        </w:tc>
        <w:tc>
          <w:tcPr>
            <w:tcW w:type="dxa" w:w="900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The Core Insight (from SolidusConf 2020)</w:t>
            </w:r>
          </w:p>
          <w:p>
            <w:pPr>
              <w:spacing w:before="40"/>
            </w:pPr>
            <w:r>
              <w:rPr>
                <w:rFonts w:ascii="Arial" w:cs="Arial" w:eastAsia="Arial" w:hAnsi="Arial"/>
                <w:sz w:val="20"/>
                <w:szCs w:val="20"/>
              </w:rPr>
              <w:t xml:space="preserve">When you apply the 5 Ws framework (Who, What, When, Where, Why) to every log event, your log files stop being a wall of text and become a queryable database. Instead of running grep in a terminal, you run queries such as: "Show me all errors (What) for user 45 (Who) in the last 10 minutes (When) on the priority queue (Where)."</w:t>
            </w:r>
          </w:p>
        </w:tc>
      </w:tr>
    </w:tbl>
    <w:p>
      <w:pPr>
        <w:spacing w:before="12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2.2 Target Audience</w:t>
      </w:r>
    </w:p>
    <w:p>
      <w:pPr>
        <w:spacing w:before="60" w:after="80"/>
      </w:pPr>
      <w:r>
        <w:rPr>
          <w:rFonts w:ascii="Arial" w:cs="Arial" w:eastAsia="Arial" w:hAnsi="Arial"/>
          <w:sz w:val="22"/>
          <w:szCs w:val="22"/>
        </w:rPr>
        <w:t xml:space="preserve">OBSERVA4J targets the following consumer groups: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Needs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Java / Quarkus developers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Emit structured, contextual logs and traces with minimal boilerplate; receive automatic MDC-equivalent context injection.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Platform / SRE teams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Enforce log format standards across all services; plug into existing Prometheus, OpenTelemetry, and Elasticsearch stacks.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 &amp; Compliance teams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tamper-evident audit trails of user actions for regulatory compliance and incident investigation.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Business / Analytics teams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business events (cart abandonment, conversion, order completion) from the same log infrastructure without a separate analytics pipeline.</w:t>
            </w:r>
          </w:p>
        </w:tc>
      </w:tr>
    </w:tbl>
    <w:p>
      <w:pPr>
        <w:spacing w:before="120" w:after="0"/>
      </w:pPr>
      <w:r>
        <w:t xml:space="preserve"/>
      </w:r>
    </w:p>
    <w:p>
      <w:r>
        <w:br w:type="pag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3. Objectives &amp; Expected Benefits</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3.1 Main Goals</w:t>
      </w:r>
    </w:p>
    <w:p>
      <w:pPr>
        <w:pStyle w:val="ListParagraph"/>
        <w:numPr>
          <w:ilvl w:val="0"/>
          <w:numId w:val="2"/>
        </w:numPr>
        <w:spacing w:before="40" w:after="40"/>
      </w:pPr>
      <w:r>
        <w:rPr>
          <w:rFonts w:ascii="Arial" w:cs="Arial" w:eastAsia="Arial" w:hAnsi="Arial"/>
          <w:b/>
          <w:bCs/>
          <w:color w:val="1F4E79"/>
          <w:sz w:val="22"/>
          <w:szCs w:val="22"/>
        </w:rPr>
        <w:t xml:space="preserve">Unified observability module: </w:t>
      </w:r>
      <w:r>
        <w:rPr>
          <w:rFonts w:ascii="Arial" w:cs="Arial" w:eastAsia="Arial" w:hAnsi="Arial"/>
          <w:sz w:val="22"/>
          <w:szCs w:val="22"/>
        </w:rPr>
        <w:t xml:space="preserve">Deliver logging, distributed tracing, metrics, and auditing through a single dependency, eliminating ad-hoc library assembly.</w:t>
      </w:r>
    </w:p>
    <w:p>
      <w:pPr>
        <w:pStyle w:val="ListParagraph"/>
        <w:numPr>
          <w:ilvl w:val="0"/>
          <w:numId w:val="2"/>
        </w:numPr>
        <w:spacing w:before="40" w:after="40"/>
      </w:pPr>
      <w:r>
        <w:rPr>
          <w:rFonts w:ascii="Arial" w:cs="Arial" w:eastAsia="Arial" w:hAnsi="Arial"/>
          <w:b/>
          <w:bCs/>
          <w:color w:val="1F4E79"/>
          <w:sz w:val="22"/>
          <w:szCs w:val="22"/>
        </w:rPr>
        <w:t xml:space="preserve">5 Ws framework enforcement: </w:t>
      </w:r>
      <w:r>
        <w:rPr>
          <w:rFonts w:ascii="Arial" w:cs="Arial" w:eastAsia="Arial" w:hAnsi="Arial"/>
          <w:sz w:val="22"/>
          <w:szCs w:val="22"/>
        </w:rPr>
        <w:t xml:space="preserve">Guarantee that every log event produced by the library carries answers to Who, What, When, Where, and Why, as described by Taylor Scott at SolidusConf 2020.</w:t>
      </w:r>
    </w:p>
    <w:p>
      <w:pPr>
        <w:pStyle w:val="ListParagraph"/>
        <w:numPr>
          <w:ilvl w:val="0"/>
          <w:numId w:val="2"/>
        </w:numPr>
        <w:spacing w:before="40" w:after="40"/>
      </w:pPr>
      <w:r>
        <w:rPr>
          <w:rFonts w:ascii="Arial" w:cs="Arial" w:eastAsia="Arial" w:hAnsi="Arial"/>
          <w:b/>
          <w:bCs/>
          <w:color w:val="1F4E79"/>
          <w:sz w:val="22"/>
          <w:szCs w:val="22"/>
        </w:rPr>
        <w:t xml:space="preserve">Structured JSON output: </w:t>
      </w:r>
      <w:r>
        <w:rPr>
          <w:rFonts w:ascii="Arial" w:cs="Arial" w:eastAsia="Arial" w:hAnsi="Arial"/>
          <w:sz w:val="22"/>
          <w:szCs w:val="22"/>
        </w:rPr>
        <w:t xml:space="preserve">Emit all log events in machine-parseable JSON, enabling direct indexing by Elasticsearch, Logstash, Loki, and similar tools.</w:t>
      </w:r>
    </w:p>
    <w:p>
      <w:pPr>
        <w:pStyle w:val="ListParagraph"/>
        <w:numPr>
          <w:ilvl w:val="0"/>
          <w:numId w:val="2"/>
        </w:numPr>
        <w:spacing w:before="40" w:after="40"/>
      </w:pPr>
      <w:r>
        <w:rPr>
          <w:rFonts w:ascii="Arial" w:cs="Arial" w:eastAsia="Arial" w:hAnsi="Arial"/>
          <w:b/>
          <w:bCs/>
          <w:color w:val="1F4E79"/>
          <w:sz w:val="22"/>
          <w:szCs w:val="22"/>
        </w:rPr>
        <w:t xml:space="preserve">Automatic context propagation: </w:t>
      </w:r>
      <w:r>
        <w:rPr>
          <w:rFonts w:ascii="Arial" w:cs="Arial" w:eastAsia="Arial" w:hAnsi="Arial"/>
          <w:sz w:val="22"/>
          <w:szCs w:val="22"/>
        </w:rPr>
        <w:t xml:space="preserve">Inject request-scoped context (Request ID, User ID, Hostname, PID) at Quarkus filter/interceptor boundaries, applying the DRY principle to observability code.</w:t>
      </w:r>
    </w:p>
    <w:p>
      <w:pPr>
        <w:pStyle w:val="ListParagraph"/>
        <w:numPr>
          <w:ilvl w:val="0"/>
          <w:numId w:val="2"/>
        </w:numPr>
        <w:spacing w:before="40" w:after="40"/>
      </w:pPr>
      <w:r>
        <w:rPr>
          <w:rFonts w:ascii="Arial" w:cs="Arial" w:eastAsia="Arial" w:hAnsi="Arial"/>
          <w:b/>
          <w:bCs/>
          <w:color w:val="1F4E79"/>
          <w:sz w:val="22"/>
          <w:szCs w:val="22"/>
        </w:rPr>
        <w:t xml:space="preserve">OpenTelemetry-native tracing: </w:t>
      </w:r>
      <w:r>
        <w:rPr>
          <w:rFonts w:ascii="Arial" w:cs="Arial" w:eastAsia="Arial" w:hAnsi="Arial"/>
          <w:sz w:val="22"/>
          <w:szCs w:val="22"/>
        </w:rPr>
        <w:t xml:space="preserve">Assign each external request a unique Trace ID and propagate it across service boundaries following the distributed tracing pattern.</w:t>
      </w:r>
    </w:p>
    <w:p>
      <w:pPr>
        <w:pStyle w:val="ListParagraph"/>
        <w:numPr>
          <w:ilvl w:val="0"/>
          <w:numId w:val="2"/>
        </w:numPr>
        <w:spacing w:before="40" w:after="40"/>
      </w:pPr>
      <w:r>
        <w:rPr>
          <w:rFonts w:ascii="Arial" w:cs="Arial" w:eastAsia="Arial" w:hAnsi="Arial"/>
          <w:b/>
          <w:bCs/>
          <w:color w:val="1F4E79"/>
          <w:sz w:val="22"/>
          <w:szCs w:val="22"/>
        </w:rPr>
        <w:t xml:space="preserve">Health Check API: </w:t>
      </w:r>
      <w:r>
        <w:rPr>
          <w:rFonts w:ascii="Arial" w:cs="Arial" w:eastAsia="Arial" w:hAnsi="Arial"/>
          <w:sz w:val="22"/>
          <w:szCs w:val="22"/>
        </w:rPr>
        <w:t xml:space="preserve">Expose a standardized /q/health endpoint that monitors infrastructure dependencies (database connections, disk space, downstream services) in addition to liveness.</w:t>
      </w:r>
    </w:p>
    <w:p>
      <w:pPr>
        <w:pStyle w:val="ListParagraph"/>
        <w:numPr>
          <w:ilvl w:val="0"/>
          <w:numId w:val="2"/>
        </w:numPr>
        <w:spacing w:before="40" w:after="40"/>
      </w:pPr>
      <w:r>
        <w:rPr>
          <w:rFonts w:ascii="Arial" w:cs="Arial" w:eastAsia="Arial" w:hAnsi="Arial"/>
          <w:b/>
          <w:bCs/>
          <w:color w:val="1F4E79"/>
          <w:sz w:val="22"/>
          <w:szCs w:val="22"/>
        </w:rPr>
        <w:t xml:space="preserve">Centralized exception tracking: </w:t>
      </w:r>
      <w:r>
        <w:rPr>
          <w:rFonts w:ascii="Arial" w:cs="Arial" w:eastAsia="Arial" w:hAnsi="Arial"/>
          <w:sz w:val="22"/>
          <w:szCs w:val="22"/>
        </w:rPr>
        <w:t xml:space="preserve">Report all uncaught exceptions to a configurable tracking backend, with automatic de-duplication and developer notification.</w:t>
      </w:r>
    </w:p>
    <w:p>
      <w:pPr>
        <w:pStyle w:val="ListParagraph"/>
        <w:numPr>
          <w:ilvl w:val="0"/>
          <w:numId w:val="2"/>
        </w:numPr>
        <w:spacing w:before="40" w:after="40"/>
      </w:pPr>
      <w:r>
        <w:rPr>
          <w:rFonts w:ascii="Arial" w:cs="Arial" w:eastAsia="Arial" w:hAnsi="Arial"/>
          <w:b/>
          <w:bCs/>
          <w:color w:val="1F4E79"/>
          <w:sz w:val="22"/>
          <w:szCs w:val="22"/>
        </w:rPr>
        <w:t xml:space="preserve">Business event logging: </w:t>
      </w:r>
      <w:r>
        <w:rPr>
          <w:rFonts w:ascii="Arial" w:cs="Arial" w:eastAsia="Arial" w:hAnsi="Arial"/>
          <w:sz w:val="22"/>
          <w:szCs w:val="22"/>
        </w:rPr>
        <w:t xml:space="preserve">Support first-class business events (e.g., ORDER_COMPLETED, CHECKOUT_STARTED) alongside technical events, transforming logs into a real-time business intelligence stream.</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3.2 Expected Benefits</w:t>
      </w:r>
    </w:p>
    <w:p>
      <w:pPr>
        <w:pStyle w:val="ListParagraph"/>
        <w:numPr>
          <w:ilvl w:val="0"/>
          <w:numId w:val="2"/>
        </w:numPr>
        <w:spacing w:before="40" w:after="40"/>
      </w:pPr>
      <w:r>
        <w:rPr>
          <w:rFonts w:ascii="Arial" w:cs="Arial" w:eastAsia="Arial" w:hAnsi="Arial"/>
          <w:b/>
          <w:bCs/>
          <w:color w:val="1F4E79"/>
          <w:sz w:val="22"/>
          <w:szCs w:val="22"/>
        </w:rPr>
        <w:t xml:space="preserve">Reduced MTTR: </w:t>
      </w:r>
      <w:r>
        <w:rPr>
          <w:rFonts w:ascii="Arial" w:cs="Arial" w:eastAsia="Arial" w:hAnsi="Arial"/>
          <w:sz w:val="22"/>
          <w:szCs w:val="22"/>
        </w:rPr>
        <w:t xml:space="preserve">Structured, correlated logs allow engineers to isolate the cause of an incident by querying rather than scanning, dramatically reducing Mean Time to Resolution.</w:t>
      </w:r>
    </w:p>
    <w:p>
      <w:pPr>
        <w:pStyle w:val="ListParagraph"/>
        <w:numPr>
          <w:ilvl w:val="0"/>
          <w:numId w:val="2"/>
        </w:numPr>
        <w:spacing w:before="40" w:after="40"/>
      </w:pPr>
      <w:r>
        <w:rPr>
          <w:rFonts w:ascii="Arial" w:cs="Arial" w:eastAsia="Arial" w:hAnsi="Arial"/>
          <w:b/>
          <w:bCs/>
          <w:color w:val="1F4E79"/>
          <w:sz w:val="22"/>
          <w:szCs w:val="22"/>
        </w:rPr>
        <w:t xml:space="preserve">Proactive anomaly detection: </w:t>
      </w:r>
      <w:r>
        <w:rPr>
          <w:rFonts w:ascii="Arial" w:cs="Arial" w:eastAsia="Arial" w:hAnsi="Arial"/>
          <w:sz w:val="22"/>
          <w:szCs w:val="22"/>
        </w:rPr>
        <w:t xml:space="preserve">Consistent structure enables ML-based or threshold-based alerting over log patterns — for example, detecting a surge in failed logins (Who + What + When) before a human notices the attack.</w:t>
      </w:r>
    </w:p>
    <w:p>
      <w:pPr>
        <w:pStyle w:val="ListParagraph"/>
        <w:numPr>
          <w:ilvl w:val="0"/>
          <w:numId w:val="2"/>
        </w:numPr>
        <w:spacing w:before="40" w:after="40"/>
      </w:pPr>
      <w:r>
        <w:rPr>
          <w:rFonts w:ascii="Arial" w:cs="Arial" w:eastAsia="Arial" w:hAnsi="Arial"/>
          <w:b/>
          <w:bCs/>
          <w:color w:val="1F4E79"/>
          <w:sz w:val="22"/>
          <w:szCs w:val="22"/>
        </w:rPr>
        <w:t xml:space="preserve">Regulatory audit readiness: </w:t>
      </w:r>
      <w:r>
        <w:rPr>
          <w:rFonts w:ascii="Arial" w:cs="Arial" w:eastAsia="Arial" w:hAnsi="Arial"/>
          <w:sz w:val="22"/>
          <w:szCs w:val="22"/>
        </w:rPr>
        <w:t xml:space="preserve">A persistent, queryable audit trail of user actions supports LGPD, SOC 2, and other compliance frameworks without requiring separate infrastructure.</w:t>
      </w:r>
    </w:p>
    <w:p>
      <w:pPr>
        <w:pStyle w:val="ListParagraph"/>
        <w:numPr>
          <w:ilvl w:val="0"/>
          <w:numId w:val="2"/>
        </w:numPr>
        <w:spacing w:before="40" w:after="40"/>
      </w:pPr>
      <w:r>
        <w:rPr>
          <w:rFonts w:ascii="Arial" w:cs="Arial" w:eastAsia="Arial" w:hAnsi="Arial"/>
          <w:b/>
          <w:bCs/>
          <w:color w:val="1F4E79"/>
          <w:sz w:val="22"/>
          <w:szCs w:val="22"/>
        </w:rPr>
        <w:t xml:space="preserve">Developer productivity: </w:t>
      </w:r>
      <w:r>
        <w:rPr>
          <w:rFonts w:ascii="Arial" w:cs="Arial" w:eastAsia="Arial" w:hAnsi="Arial"/>
          <w:sz w:val="22"/>
          <w:szCs w:val="22"/>
        </w:rPr>
        <w:t xml:space="preserve">Zero-config context injection means developers write business logic rather than wiring observability plumbing.</w:t>
      </w:r>
    </w:p>
    <w:p>
      <w:pPr>
        <w:pStyle w:val="ListParagraph"/>
        <w:numPr>
          <w:ilvl w:val="0"/>
          <w:numId w:val="2"/>
        </w:numPr>
        <w:spacing w:before="40" w:after="40"/>
      </w:pPr>
      <w:r>
        <w:rPr>
          <w:rFonts w:ascii="Arial" w:cs="Arial" w:eastAsia="Arial" w:hAnsi="Arial"/>
          <w:b/>
          <w:bCs/>
          <w:color w:val="1F4E79"/>
          <w:sz w:val="22"/>
          <w:szCs w:val="22"/>
        </w:rPr>
        <w:t xml:space="preserve">Business intelligence without overhead: </w:t>
      </w:r>
      <w:r>
        <w:rPr>
          <w:rFonts w:ascii="Arial" w:cs="Arial" w:eastAsia="Arial" w:hAnsi="Arial"/>
          <w:sz w:val="22"/>
          <w:szCs w:val="22"/>
        </w:rPr>
        <w:t xml:space="preserve">Structured business event logs can feed Kibana dashboards directly — no separate analytics database or third-party SDK required.</w:t>
      </w:r>
    </w:p>
    <w:p>
      <w:pPr>
        <w:pStyle w:val="ListParagraph"/>
        <w:numPr>
          <w:ilvl w:val="0"/>
          <w:numId w:val="2"/>
        </w:numPr>
        <w:spacing w:before="40" w:after="40"/>
      </w:pPr>
      <w:r>
        <w:rPr>
          <w:rFonts w:ascii="Arial" w:cs="Arial" w:eastAsia="Arial" w:hAnsi="Arial"/>
          <w:b/>
          <w:bCs/>
          <w:color w:val="1F4E79"/>
          <w:sz w:val="22"/>
          <w:szCs w:val="22"/>
        </w:rPr>
        <w:t xml:space="preserve">Dispute resolution: </w:t>
      </w:r>
      <w:r>
        <w:rPr>
          <w:rFonts w:ascii="Arial" w:cs="Arial" w:eastAsia="Arial" w:hAnsi="Arial"/>
          <w:sz w:val="22"/>
          <w:szCs w:val="22"/>
        </w:rPr>
        <w:t xml:space="preserve">Logged request and response bodies provide irrefutable evidence when debugging conflicts with third-party APIs (payment gateways, logistics providers).</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3.3 Differentiation from Existing Solutions</w:t>
      </w:r>
    </w:p>
    <w:p>
      <w:pPr>
        <w:spacing w:before="60" w:after="80"/>
      </w:pPr>
      <w:r>
        <w:rPr>
          <w:rFonts w:ascii="Arial" w:cs="Arial" w:eastAsia="Arial" w:hAnsi="Arial"/>
          <w:sz w:val="22"/>
          <w:szCs w:val="22"/>
        </w:rPr>
        <w:t xml:space="preserve">The following table positions OBSERVA4J relative to the most commonly used alternatives: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Existing Tools</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OBSERVA4J Advantage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Structured Logging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SLF4J + Logback/Log4j2 (manual configuration per service)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Ws enforcement built-in; JSON formatter pre-configured; zero boilerplate for context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Distributed Tracing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OpenTelemetry SDK (complex instrumentation setup)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Pre-wired Quarkus integration; Trace ID / Span ID injected automatically at HTTP filter layer.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Audit Logging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hand-rolled solutions or event-sourcing frameworks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Lightweight annotation-driven (@Auditable) audit interceptor; persistence-agnostic.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Events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 Mixpanel, custom Kafka producers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First-class business event type in the same log infrastructure; no additional SDK dependency.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Health Checks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Quarkus SmallRye Health (manual HealthCheck impls)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Pre-built health indicators for common infrastructure; composable checks with structured output.</w:t>
            </w:r>
          </w:p>
        </w:tc>
      </w:tr>
    </w:tbl>
    <w:p>
      <w:pPr>
        <w:spacing w:before="120" w:after="0"/>
      </w:pPr>
      <w:r>
        <w:t xml:space="preserve"/>
      </w:r>
    </w:p>
    <w:p>
      <w:r>
        <w:br w:type="pag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4. Scope</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4.1 What the Library Will Offer</w:t>
      </w:r>
    </w:p>
    <w:p>
      <w:pPr>
        <w:pStyle w:val="Heading3"/>
        <w:spacing w:before="200" w:after="60"/>
      </w:pPr>
      <w:r>
        <w:rPr>
          <w:rFonts w:ascii="Arial" w:cs="Arial" w:eastAsia="Arial" w:hAnsi="Arial"/>
          <w:b/>
          <w:bCs/>
          <w:color w:val="2E75B6"/>
          <w:sz w:val="22"/>
          <w:szCs w:val="22"/>
        </w:rPr>
        <w:t xml:space="preserve">4.1.1 Structured Application Logging — The 5 Ws Framework</w:t>
      </w:r>
    </w:p>
    <w:p>
      <w:pPr>
        <w:spacing w:before="60" w:after="80"/>
      </w:pPr>
      <w:r>
        <w:rPr>
          <w:rFonts w:ascii="Arial" w:cs="Arial" w:eastAsia="Arial" w:hAnsi="Arial"/>
          <w:sz w:val="22"/>
          <w:szCs w:val="22"/>
        </w:rPr>
        <w:t xml:space="preserve">Every log event produced by the library must carry the five contextual dimensions introduced by Taylor Scott at SolidusConf 2020:</w:t>
      </w:r>
    </w:p>
    <w:p>
      <w:pPr>
        <w:spacing w:before="60" w:after="0"/>
      </w:pPr>
      <w:r>
        <w:t xml:space="preserve"/>
      </w:r>
    </w:p>
    <w:p>
      <w:pPr>
        <w:pStyle w:val="ListParagraph"/>
        <w:numPr>
          <w:ilvl w:val="0"/>
          <w:numId w:val="2"/>
        </w:numPr>
        <w:spacing w:before="40" w:after="40"/>
      </w:pPr>
      <w:r>
        <w:rPr>
          <w:rFonts w:ascii="Arial" w:cs="Arial" w:eastAsia="Arial" w:hAnsi="Arial"/>
          <w:b/>
          <w:bCs/>
          <w:color w:val="1F4E79"/>
          <w:sz w:val="22"/>
          <w:szCs w:val="22"/>
        </w:rPr>
        <w:t xml:space="preserve">Who (Identity): </w:t>
      </w:r>
      <w:r>
        <w:rPr>
          <w:rFonts w:ascii="Arial" w:cs="Arial" w:eastAsia="Arial" w:hAnsi="Arial"/>
          <w:sz w:val="22"/>
          <w:szCs w:val="22"/>
        </w:rPr>
        <w:t xml:space="preserve">User identifiers (user_id, visitor_token, email); machine/container identity (hostname, IP address); PID for multi-worker environments. Supports an identity array to track visitor-to-authenticated-user transitions without losing the correlation between both phases of navigation.</w:t>
      </w:r>
    </w:p>
    <w:p>
      <w:pPr>
        <w:pStyle w:val="ListParagraph"/>
        <w:numPr>
          <w:ilvl w:val="0"/>
          <w:numId w:val="2"/>
        </w:numPr>
        <w:spacing w:before="40" w:after="40"/>
      </w:pPr>
      <w:r>
        <w:rPr>
          <w:rFonts w:ascii="Arial" w:cs="Arial" w:eastAsia="Arial" w:hAnsi="Arial"/>
          <w:b/>
          <w:bCs/>
          <w:color w:val="1F4E79"/>
          <w:sz w:val="22"/>
          <w:szCs w:val="22"/>
        </w:rPr>
        <w:t xml:space="preserve">What (Event): </w:t>
      </w:r>
      <w:r>
        <w:rPr>
          <w:rFonts w:ascii="Arial" w:cs="Arial" w:eastAsia="Arial" w:hAnsi="Arial"/>
          <w:sz w:val="22"/>
          <w:szCs w:val="22"/>
        </w:rPr>
        <w:t xml:space="preserve">A descriptive message containing specific entity identifiers (e.g., order_id, payment_id) rather than generic strings. Distinguishes between technical events and first-class business events (e.g., CART_ABANDONED, ORDER_COMPLETED). Includes the entity state at the moment of the event.</w:t>
      </w:r>
    </w:p>
    <w:p>
      <w:pPr>
        <w:pStyle w:val="ListParagraph"/>
        <w:numPr>
          <w:ilvl w:val="0"/>
          <w:numId w:val="2"/>
        </w:numPr>
        <w:spacing w:before="40" w:after="40"/>
      </w:pPr>
      <w:r>
        <w:rPr>
          <w:rFonts w:ascii="Arial" w:cs="Arial" w:eastAsia="Arial" w:hAnsi="Arial"/>
          <w:b/>
          <w:bCs/>
          <w:color w:val="1F4E79"/>
          <w:sz w:val="22"/>
          <w:szCs w:val="22"/>
        </w:rPr>
        <w:t xml:space="preserve">When (Timestamp): </w:t>
      </w:r>
      <w:r>
        <w:rPr>
          <w:rFonts w:ascii="Arial" w:cs="Arial" w:eastAsia="Arial" w:hAnsi="Arial"/>
          <w:sz w:val="22"/>
          <w:szCs w:val="22"/>
        </w:rPr>
        <w:t xml:space="preserve">High-precision timestamps including milliseconds and UTC timezone. Synchronized clock awareness is important in distributed environments — if server clocks diverge, the When dimension can mislead rather than clarify event ordering.</w:t>
      </w:r>
    </w:p>
    <w:p>
      <w:pPr>
        <w:pStyle w:val="ListParagraph"/>
        <w:numPr>
          <w:ilvl w:val="0"/>
          <w:numId w:val="2"/>
        </w:numPr>
        <w:spacing w:before="40" w:after="40"/>
      </w:pPr>
      <w:r>
        <w:rPr>
          <w:rFonts w:ascii="Arial" w:cs="Arial" w:eastAsia="Arial" w:hAnsi="Arial"/>
          <w:b/>
          <w:bCs/>
          <w:color w:val="1F4E79"/>
          <w:sz w:val="22"/>
          <w:szCs w:val="22"/>
        </w:rPr>
        <w:t xml:space="preserve">Where (Location): </w:t>
      </w:r>
      <w:r>
        <w:rPr>
          <w:rFonts w:ascii="Arial" w:cs="Arial" w:eastAsia="Arial" w:hAnsi="Arial"/>
          <w:sz w:val="22"/>
          <w:szCs w:val="22"/>
        </w:rPr>
        <w:t xml:space="preserve">Code location via full stack trace object (not just message string). Request ID (UUID) for isolating all log lines of a single HTTP request across services. Infrastructure coordinates: hostname, container name, cloud instance ID. Background job coordinates: queue name, Job ID, Worker class name.</w:t>
      </w:r>
    </w:p>
    <w:p>
      <w:pPr>
        <w:pStyle w:val="ListParagraph"/>
        <w:numPr>
          <w:ilvl w:val="0"/>
          <w:numId w:val="2"/>
        </w:numPr>
        <w:spacing w:before="40" w:after="40"/>
      </w:pPr>
      <w:r>
        <w:rPr>
          <w:rFonts w:ascii="Arial" w:cs="Arial" w:eastAsia="Arial" w:hAnsi="Arial"/>
          <w:b/>
          <w:bCs/>
          <w:color w:val="1F4E79"/>
          <w:sz w:val="22"/>
          <w:szCs w:val="22"/>
        </w:rPr>
        <w:t xml:space="preserve">Why (Causality): </w:t>
      </w:r>
      <w:r>
        <w:rPr>
          <w:rFonts w:ascii="Arial" w:cs="Arial" w:eastAsia="Arial" w:hAnsi="Arial"/>
          <w:sz w:val="22"/>
          <w:szCs w:val="22"/>
        </w:rPr>
        <w:t xml:space="preserve">The emergent dimension — the narrative that forms when the other four Ws are combined and queried. Enables answering questions such as: "Why did sales drop this hour?" by correlating error events (What) with a specific infrastructure service failure (Where).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C55A11" w:val="clear"/>
          </w:tcPr>
          <w:p>
            <w:r>
              <w:rPr>
                <w:rFonts w:ascii="Arial" w:cs="Arial" w:eastAsia="Arial" w:hAnsi="Arial"/>
                <w:color w:val="FFFFFF"/>
                <w:sz w:val="22"/>
                <w:szCs w:val="22"/>
              </w:rPr>
              <w:t xml:space="preserve">⚠</w:t>
            </w:r>
          </w:p>
        </w:tc>
        <w:tc>
          <w:tcPr>
            <w:tcW w:type="dxa" w:w="9000"/>
            <w:tcBorders>
              <w:top w:val="none" w:color="FFFFFF" w:sz="0"/>
              <w:left w:val="none" w:color="FFFFFF" w:sz="0"/>
              <w:bottom w:val="none" w:color="FFFFFF" w:sz="0"/>
              <w:right w:val="none" w:color="FFFFFF" w:sz="0"/>
            </w:tcBorders>
            <w:shd w:fill="FFF2CC" w:val="clear"/>
            <w:tcMar>
              <w:top w:type="dxa" w:w="80"/>
              <w:left w:type="dxa" w:w="160"/>
              <w:bottom w:type="dxa" w:w="80"/>
              <w:right w:type="dxa" w:w="160"/>
            </w:tcMar>
          </w:tcPr>
          <w:p>
            <w:r>
              <w:rPr>
                <w:rFonts w:ascii="Arial" w:cs="Arial" w:eastAsia="Arial" w:hAnsi="Arial"/>
                <w:b/>
                <w:bCs/>
                <w:color w:val="C55A11"/>
                <w:sz w:val="20"/>
                <w:szCs w:val="20"/>
              </w:rPr>
              <w:t xml:space="preserve">AMBIGUITY — Identity Array Semantics</w:t>
            </w:r>
          </w:p>
          <w:p>
            <w:pPr>
              <w:spacing w:before="40"/>
            </w:pPr>
            <w:r>
              <w:rPr>
                <w:rFonts w:ascii="Arial" w:cs="Arial" w:eastAsia="Arial" w:hAnsi="Arial"/>
                <w:sz w:val="20"/>
                <w:szCs w:val="20"/>
              </w:rPr>
              <w:t xml:space="preserve">The concept of an 'array for user IDs' to track visitor-to-authenticated transitions is mentioned but not fully specified. Questions requiring clarification: (1) Should both IDs always be present in every subsequent log line after login, or only in the transition event itself? (2) What is the expected field name — user_ids[]? principal_chain? (3) How does this interact with session expiry or token refresh?</w:t>
            </w:r>
          </w:p>
        </w:tc>
      </w:tr>
    </w:tbl>
    <w:p>
      <w:pPr>
        <w:spacing w:before="80" w:after="0"/>
      </w:pPr>
      <w:r>
        <w:t xml:space="preserve"/>
      </w:r>
    </w:p>
    <w:p>
      <w:pPr>
        <w:pStyle w:val="Heading3"/>
        <w:spacing w:before="200" w:after="60"/>
      </w:pPr>
      <w:r>
        <w:rPr>
          <w:rFonts w:ascii="Arial" w:cs="Arial" w:eastAsia="Arial" w:hAnsi="Arial"/>
          <w:b/>
          <w:bCs/>
          <w:color w:val="2E75B6"/>
          <w:sz w:val="22"/>
          <w:szCs w:val="22"/>
        </w:rPr>
        <w:t xml:space="preserve">4.1.2 Log Consistency and Format Standards</w:t>
      </w:r>
    </w:p>
    <w:p>
      <w:pPr>
        <w:spacing w:before="60" w:after="80"/>
      </w:pPr>
      <w:r>
        <w:rPr>
          <w:rFonts w:ascii="Arial" w:cs="Arial" w:eastAsia="Arial" w:hAnsi="Arial"/>
          <w:sz w:val="22"/>
          <w:szCs w:val="22"/>
        </w:rPr>
        <w:t xml:space="preserve">Consistency in field names across services is as important as the presence of the fields themselves. A service that logs order_id and another that logs order_number describing the same concept will produce split results in analytics tools. The library enforces:</w:t>
      </w:r>
    </w:p>
    <w:p>
      <w:pPr>
        <w:pStyle w:val="ListParagraph"/>
        <w:numPr>
          <w:ilvl w:val="0"/>
          <w:numId w:val="2"/>
        </w:numPr>
        <w:spacing w:before="40" w:after="40"/>
      </w:pPr>
      <w:r>
        <w:rPr>
          <w:rFonts w:ascii="Arial" w:cs="Arial" w:eastAsia="Arial" w:hAnsi="Arial"/>
          <w:sz w:val="22"/>
          <w:szCs w:val="22"/>
        </w:rPr>
        <w:t xml:space="preserve">A canonical field name registry for common identifiers (order_id, user_id, request_id, trace_id, span_id)</w:t>
      </w:r>
    </w:p>
    <w:p>
      <w:pPr>
        <w:pStyle w:val="ListParagraph"/>
        <w:numPr>
          <w:ilvl w:val="0"/>
          <w:numId w:val="2"/>
        </w:numPr>
        <w:spacing w:before="40" w:after="40"/>
      </w:pPr>
      <w:r>
        <w:rPr>
          <w:rFonts w:ascii="Arial" w:cs="Arial" w:eastAsia="Arial" w:hAnsi="Arial"/>
          <w:sz w:val="22"/>
          <w:szCs w:val="22"/>
        </w:rPr>
        <w:t xml:space="preserve">JSON as the default output format, enabling direct machine parsing without log parsing pipelines</w:t>
      </w:r>
    </w:p>
    <w:p>
      <w:pPr>
        <w:pStyle w:val="ListParagraph"/>
        <w:numPr>
          <w:ilvl w:val="0"/>
          <w:numId w:val="2"/>
        </w:numPr>
        <w:spacing w:before="40" w:after="40"/>
      </w:pPr>
      <w:r>
        <w:rPr>
          <w:rFonts w:ascii="Arial" w:cs="Arial" w:eastAsia="Arial" w:hAnsi="Arial"/>
          <w:sz w:val="22"/>
          <w:szCs w:val="22"/>
        </w:rPr>
        <w:t xml:space="preserve">Log rotation policy guidance: by file size and by time period (daily/weekly), to prevent server storage exhaustion</w:t>
      </w:r>
    </w:p>
    <w:p>
      <w:pPr>
        <w:pStyle w:val="ListParagraph"/>
        <w:numPr>
          <w:ilvl w:val="0"/>
          <w:numId w:val="2"/>
        </w:numPr>
        <w:spacing w:before="40" w:after="40"/>
      </w:pPr>
      <w:r>
        <w:rPr>
          <w:rFonts w:ascii="Arial" w:cs="Arial" w:eastAsia="Arial" w:hAnsi="Arial"/>
          <w:sz w:val="22"/>
          <w:szCs w:val="22"/>
        </w:rPr>
        <w:t xml:space="preserve">Log severity levels: TRACE, DEBUG, INFO, WARN, ERROR, FATAL — with recommendations on appropriate use</w:t>
      </w:r>
    </w:p>
    <w:p>
      <w:pPr>
        <w:spacing w:before="80" w:after="0"/>
      </w:pPr>
      <w:r>
        <w:t xml:space="preserve"/>
      </w:r>
    </w:p>
    <w:p>
      <w:pPr>
        <w:pStyle w:val="Heading3"/>
        <w:spacing w:before="200" w:after="60"/>
      </w:pPr>
      <w:r>
        <w:rPr>
          <w:rFonts w:ascii="Arial" w:cs="Arial" w:eastAsia="Arial" w:hAnsi="Arial"/>
          <w:b/>
          <w:bCs/>
          <w:color w:val="2E75B6"/>
          <w:sz w:val="22"/>
          <w:szCs w:val="22"/>
        </w:rPr>
        <w:t xml:space="preserve">4.1.3 Tagged / Contextual Logging</w:t>
      </w:r>
    </w:p>
    <w:p>
      <w:pPr>
        <w:spacing w:before="60" w:after="80"/>
      </w:pPr>
      <w:r>
        <w:rPr>
          <w:rFonts w:ascii="Arial" w:cs="Arial" w:eastAsia="Arial" w:hAnsi="Arial"/>
          <w:sz w:val="22"/>
          <w:szCs w:val="22"/>
        </w:rPr>
        <w:t xml:space="preserve">Inspired by ActiveSupport's Tagged Logging and Java's Mapped Diagnostic Context (MDC), the library provides automatic context injection at framework boundaries:</w:t>
      </w:r>
    </w:p>
    <w:p>
      <w:pPr>
        <w:pStyle w:val="ListParagraph"/>
        <w:numPr>
          <w:ilvl w:val="0"/>
          <w:numId w:val="2"/>
        </w:numPr>
        <w:spacing w:before="40" w:after="40"/>
      </w:pPr>
      <w:r>
        <w:rPr>
          <w:rFonts w:ascii="Arial" w:cs="Arial" w:eastAsia="Arial" w:hAnsi="Arial"/>
          <w:sz w:val="22"/>
          <w:szCs w:val="22"/>
        </w:rPr>
        <w:t xml:space="preserve">A Quarkus JAX-RS ContainerRequestFilter injects Request ID at the start of every HTTP request</w:t>
      </w:r>
    </w:p>
    <w:p>
      <w:pPr>
        <w:pStyle w:val="ListParagraph"/>
        <w:numPr>
          <w:ilvl w:val="0"/>
          <w:numId w:val="2"/>
        </w:numPr>
        <w:spacing w:before="40" w:after="40"/>
      </w:pPr>
      <w:r>
        <w:rPr>
          <w:rFonts w:ascii="Arial" w:cs="Arial" w:eastAsia="Arial" w:hAnsi="Arial"/>
          <w:sz w:val="22"/>
          <w:szCs w:val="22"/>
        </w:rPr>
        <w:t xml:space="preserve">A CDI interceptor or Around method equivalent injects User ID for authenticated requests</w:t>
      </w:r>
    </w:p>
    <w:p>
      <w:pPr>
        <w:pStyle w:val="ListParagraph"/>
        <w:numPr>
          <w:ilvl w:val="0"/>
          <w:numId w:val="2"/>
        </w:numPr>
        <w:spacing w:before="40" w:after="40"/>
      </w:pPr>
      <w:r>
        <w:rPr>
          <w:rFonts w:ascii="Arial" w:cs="Arial" w:eastAsia="Arial" w:hAnsi="Arial"/>
          <w:sz w:val="22"/>
          <w:szCs w:val="22"/>
        </w:rPr>
        <w:t xml:space="preserve">All log lines emitted within a request scope automatically carry the injected context, applying the DRY principle — developers never manually repeat context fields</w:t>
      </w:r>
    </w:p>
    <w:p>
      <w:pPr>
        <w:spacing w:before="80" w:after="0"/>
      </w:pPr>
      <w:r>
        <w:t xml:space="preserve"/>
      </w:r>
    </w:p>
    <w:p>
      <w:pPr>
        <w:pStyle w:val="Heading3"/>
        <w:spacing w:before="200" w:after="60"/>
      </w:pPr>
      <w:r>
        <w:rPr>
          <w:rFonts w:ascii="Arial" w:cs="Arial" w:eastAsia="Arial" w:hAnsi="Arial"/>
          <w:b/>
          <w:bCs/>
          <w:color w:val="2E75B6"/>
          <w:sz w:val="22"/>
          <w:szCs w:val="22"/>
        </w:rPr>
        <w:t xml:space="preserve">4.1.4 Distributed Tracing</w:t>
      </w:r>
    </w:p>
    <w:p>
      <w:pPr>
        <w:spacing w:before="60" w:after="80"/>
      </w:pPr>
      <w:r>
        <w:rPr>
          <w:rFonts w:ascii="Arial" w:cs="Arial" w:eastAsia="Arial" w:hAnsi="Arial"/>
          <w:sz w:val="22"/>
          <w:szCs w:val="22"/>
        </w:rPr>
        <w:t xml:space="preserve">Following the Distributed Tracing pattern from microservices.io, the library provides:</w:t>
      </w:r>
    </w:p>
    <w:p>
      <w:pPr>
        <w:pStyle w:val="ListParagraph"/>
        <w:numPr>
          <w:ilvl w:val="0"/>
          <w:numId w:val="2"/>
        </w:numPr>
        <w:spacing w:before="40" w:after="40"/>
      </w:pPr>
      <w:r>
        <w:rPr>
          <w:rFonts w:ascii="Arial" w:cs="Arial" w:eastAsia="Arial" w:hAnsi="Arial"/>
          <w:sz w:val="22"/>
          <w:szCs w:val="22"/>
        </w:rPr>
        <w:t xml:space="preserve">Automatic generation of a unique Trace ID (UUID) for each inbound external request</w:t>
      </w:r>
    </w:p>
    <w:p>
      <w:pPr>
        <w:pStyle w:val="ListParagraph"/>
        <w:numPr>
          <w:ilvl w:val="0"/>
          <w:numId w:val="2"/>
        </w:numPr>
        <w:spacing w:before="40" w:after="40"/>
      </w:pPr>
      <w:r>
        <w:rPr>
          <w:rFonts w:ascii="Arial" w:cs="Arial" w:eastAsia="Arial" w:hAnsi="Arial"/>
          <w:sz w:val="22"/>
          <w:szCs w:val="22"/>
        </w:rPr>
        <w:t xml:space="preserve">Propagation of Trace ID and Span ID across service-to-service calls via HTTP headers (W3C TraceContext standard)</w:t>
      </w:r>
    </w:p>
    <w:p>
      <w:pPr>
        <w:pStyle w:val="ListParagraph"/>
        <w:numPr>
          <w:ilvl w:val="0"/>
          <w:numId w:val="2"/>
        </w:numPr>
        <w:spacing w:before="40" w:after="40"/>
      </w:pPr>
      <w:r>
        <w:rPr>
          <w:rFonts w:ascii="Arial" w:cs="Arial" w:eastAsia="Arial" w:hAnsi="Arial"/>
          <w:sz w:val="22"/>
          <w:szCs w:val="22"/>
        </w:rPr>
        <w:t xml:space="preserve">Recording of start time, end time, and operation metadata for each span</w:t>
      </w:r>
    </w:p>
    <w:p>
      <w:pPr>
        <w:pStyle w:val="ListParagraph"/>
        <w:numPr>
          <w:ilvl w:val="0"/>
          <w:numId w:val="2"/>
        </w:numPr>
        <w:spacing w:before="40" w:after="40"/>
      </w:pPr>
      <w:r>
        <w:rPr>
          <w:rFonts w:ascii="Arial" w:cs="Arial" w:eastAsia="Arial" w:hAnsi="Arial"/>
          <w:sz w:val="22"/>
          <w:szCs w:val="22"/>
        </w:rPr>
        <w:t xml:space="preserve">Export of trace data to a configurable backend (Jaeger, Zipkin, OpenTelemetry Collector)</w:t>
      </w:r>
    </w:p>
    <w:p>
      <w:pPr>
        <w:pStyle w:val="ListParagraph"/>
        <w:numPr>
          <w:ilvl w:val="0"/>
          <w:numId w:val="2"/>
        </w:numPr>
        <w:spacing w:before="40" w:after="40"/>
      </w:pPr>
      <w:r>
        <w:rPr>
          <w:rFonts w:ascii="Arial" w:cs="Arial" w:eastAsia="Arial" w:hAnsi="Arial"/>
          <w:sz w:val="22"/>
          <w:szCs w:val="22"/>
        </w:rPr>
        <w:t xml:space="preserve">Inclusion of Trace ID in every log line, enabling cross-service log correlation through a single identifier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C55A11" w:val="clear"/>
          </w:tcPr>
          <w:p>
            <w:r>
              <w:rPr>
                <w:rFonts w:ascii="Arial" w:cs="Arial" w:eastAsia="Arial" w:hAnsi="Arial"/>
                <w:color w:val="FFFFFF"/>
                <w:sz w:val="22"/>
                <w:szCs w:val="22"/>
              </w:rPr>
              <w:t xml:space="preserve">⚠</w:t>
            </w:r>
          </w:p>
        </w:tc>
        <w:tc>
          <w:tcPr>
            <w:tcW w:type="dxa" w:w="9000"/>
            <w:tcBorders>
              <w:top w:val="none" w:color="FFFFFF" w:sz="0"/>
              <w:left w:val="none" w:color="FFFFFF" w:sz="0"/>
              <w:bottom w:val="none" w:color="FFFFFF" w:sz="0"/>
              <w:right w:val="none" w:color="FFFFFF" w:sz="0"/>
            </w:tcBorders>
            <w:shd w:fill="FFF2CC" w:val="clear"/>
            <w:tcMar>
              <w:top w:type="dxa" w:w="80"/>
              <w:left w:type="dxa" w:w="160"/>
              <w:bottom w:type="dxa" w:w="80"/>
              <w:right w:type="dxa" w:w="160"/>
            </w:tcMar>
          </w:tcPr>
          <w:p>
            <w:r>
              <w:rPr>
                <w:rFonts w:ascii="Arial" w:cs="Arial" w:eastAsia="Arial" w:hAnsi="Arial"/>
                <w:b/>
                <w:bCs/>
                <w:color w:val="C55A11"/>
                <w:sz w:val="20"/>
                <w:szCs w:val="20"/>
              </w:rPr>
              <w:t xml:space="preserve">AMBIGUITY — Sampling Strategy</w:t>
            </w:r>
          </w:p>
          <w:p>
            <w:pPr>
              <w:spacing w:before="40"/>
            </w:pPr>
            <w:r>
              <w:rPr>
                <w:rFonts w:ascii="Arial" w:cs="Arial" w:eastAsia="Arial" w:hAnsi="Arial"/>
                <w:sz w:val="20"/>
                <w:szCs w:val="20"/>
              </w:rPr>
              <w:t xml:space="preserve">The distributed tracing pattern mentions configurable sampling (e.g., sample 100% of requests in development, 10% in production). The sampling strategy — head-based vs. tail-based — and its default configuration must be defined. Tail-based sampling (deciding after the fact based on error presence) is more powerful but requires buffering infrastructure.</w:t>
            </w:r>
          </w:p>
        </w:tc>
      </w:tr>
    </w:tbl>
    <w:p>
      <w:pPr>
        <w:spacing w:before="80" w:after="0"/>
      </w:pPr>
      <w:r>
        <w:t xml:space="preserve"/>
      </w:r>
    </w:p>
    <w:p>
      <w:pPr>
        <w:pStyle w:val="Heading3"/>
        <w:spacing w:before="200" w:after="60"/>
      </w:pPr>
      <w:r>
        <w:rPr>
          <w:rFonts w:ascii="Arial" w:cs="Arial" w:eastAsia="Arial" w:hAnsi="Arial"/>
          <w:b/>
          <w:bCs/>
          <w:color w:val="2E75B6"/>
          <w:sz w:val="22"/>
          <w:szCs w:val="22"/>
        </w:rPr>
        <w:t xml:space="preserve">4.1.5 Application Metrics &amp; Telemetry</w:t>
      </w:r>
    </w:p>
    <w:p>
      <w:pPr>
        <w:spacing w:before="60" w:after="80"/>
      </w:pPr>
      <w:r>
        <w:rPr>
          <w:rFonts w:ascii="Arial" w:cs="Arial" w:eastAsia="Arial" w:hAnsi="Arial"/>
          <w:sz w:val="22"/>
          <w:szCs w:val="22"/>
        </w:rPr>
        <w:t xml:space="preserve">Following the Application Metrics pattern from microservices.io, the library instruments services to gather statistics about individual operations, then exports them to a centralized metrics service. Two aggregation models are supported:</w:t>
      </w:r>
    </w:p>
    <w:p>
      <w:pPr>
        <w:pStyle w:val="ListParagraph"/>
        <w:numPr>
          <w:ilvl w:val="0"/>
          <w:numId w:val="2"/>
        </w:numPr>
        <w:spacing w:before="40" w:after="40"/>
      </w:pPr>
      <w:r>
        <w:rPr>
          <w:rFonts w:ascii="Arial" w:cs="Arial" w:eastAsia="Arial" w:hAnsi="Arial"/>
          <w:b/>
          <w:bCs/>
          <w:color w:val="1F4E79"/>
          <w:sz w:val="22"/>
          <w:szCs w:val="22"/>
        </w:rPr>
        <w:t xml:space="preserve">Push model: </w:t>
      </w:r>
      <w:r>
        <w:rPr>
          <w:rFonts w:ascii="Arial" w:cs="Arial" w:eastAsia="Arial" w:hAnsi="Arial"/>
          <w:sz w:val="22"/>
          <w:szCs w:val="22"/>
        </w:rPr>
        <w:t xml:space="preserve">The service pushes metrics to the metrics service (e.g., Prometheus Pushgateway, AWS CloudWatch).</w:t>
      </w:r>
    </w:p>
    <w:p>
      <w:pPr>
        <w:pStyle w:val="ListParagraph"/>
        <w:numPr>
          <w:ilvl w:val="0"/>
          <w:numId w:val="2"/>
        </w:numPr>
        <w:spacing w:before="40" w:after="40"/>
      </w:pPr>
      <w:r>
        <w:rPr>
          <w:rFonts w:ascii="Arial" w:cs="Arial" w:eastAsia="Arial" w:hAnsi="Arial"/>
          <w:b/>
          <w:bCs/>
          <w:color w:val="1F4E79"/>
          <w:sz w:val="22"/>
          <w:szCs w:val="22"/>
        </w:rPr>
        <w:t xml:space="preserve">Pull model: </w:t>
      </w:r>
      <w:r>
        <w:rPr>
          <w:rFonts w:ascii="Arial" w:cs="Arial" w:eastAsia="Arial" w:hAnsi="Arial"/>
          <w:sz w:val="22"/>
          <w:szCs w:val="22"/>
        </w:rPr>
        <w:t xml:space="preserve">The metrics service scrapes metrics from the service's /q/metrics endpoint (standard Prometheus model).</w:t>
      </w:r>
    </w:p>
    <w:p>
      <w:pPr>
        <w:spacing w:before="60" w:after="0"/>
      </w:pPr>
      <w:r>
        <w:t xml:space="preserve"/>
      </w:r>
    </w:p>
    <w:p>
      <w:pPr>
        <w:spacing w:before="60" w:after="80"/>
      </w:pPr>
      <w:r>
        <w:rPr>
          <w:rFonts w:ascii="Arial" w:cs="Arial" w:eastAsia="Arial" w:hAnsi="Arial"/>
          <w:sz w:val="22"/>
          <w:szCs w:val="22"/>
        </w:rPr>
        <w:t xml:space="preserve">Metric types covered:</w:t>
      </w:r>
    </w:p>
    <w:p>
      <w:pPr>
        <w:pStyle w:val="ListParagraph"/>
        <w:numPr>
          <w:ilvl w:val="0"/>
          <w:numId w:val="2"/>
        </w:numPr>
        <w:spacing w:before="40" w:after="40"/>
      </w:pPr>
      <w:r>
        <w:rPr>
          <w:rFonts w:ascii="Arial" w:cs="Arial" w:eastAsia="Arial" w:hAnsi="Arial"/>
          <w:sz w:val="22"/>
          <w:szCs w:val="22"/>
        </w:rPr>
        <w:t xml:space="preserve">Counters: total requests, total errors, total business events by type</w:t>
      </w:r>
    </w:p>
    <w:p>
      <w:pPr>
        <w:pStyle w:val="ListParagraph"/>
        <w:numPr>
          <w:ilvl w:val="0"/>
          <w:numId w:val="2"/>
        </w:numPr>
        <w:spacing w:before="40" w:after="40"/>
      </w:pPr>
      <w:r>
        <w:rPr>
          <w:rFonts w:ascii="Arial" w:cs="Arial" w:eastAsia="Arial" w:hAnsi="Arial"/>
          <w:sz w:val="22"/>
          <w:szCs w:val="22"/>
        </w:rPr>
        <w:t xml:space="preserve">Histograms: request latency distribution, queue processing time</w:t>
      </w:r>
    </w:p>
    <w:p>
      <w:pPr>
        <w:pStyle w:val="ListParagraph"/>
        <w:numPr>
          <w:ilvl w:val="0"/>
          <w:numId w:val="2"/>
        </w:numPr>
        <w:spacing w:before="40" w:after="40"/>
      </w:pPr>
      <w:r>
        <w:rPr>
          <w:rFonts w:ascii="Arial" w:cs="Arial" w:eastAsia="Arial" w:hAnsi="Arial"/>
          <w:sz w:val="22"/>
          <w:szCs w:val="22"/>
        </w:rPr>
        <w:t xml:space="preserve">Gauges: active connections, JVM heap usage, queue depth</w:t>
      </w:r>
    </w:p>
    <w:p>
      <w:pPr>
        <w:pStyle w:val="ListParagraph"/>
        <w:numPr>
          <w:ilvl w:val="0"/>
          <w:numId w:val="2"/>
        </w:numPr>
        <w:spacing w:before="40" w:after="40"/>
      </w:pPr>
      <w:r>
        <w:rPr>
          <w:rFonts w:ascii="Arial" w:cs="Arial" w:eastAsia="Arial" w:hAnsi="Arial"/>
          <w:sz w:val="22"/>
          <w:szCs w:val="22"/>
        </w:rPr>
        <w:t xml:space="preserve">Business KPI metrics: order value totals, conversion rates (emitted as labeled counters)</w:t>
      </w:r>
    </w:p>
    <w:p>
      <w:pPr>
        <w:spacing w:before="80" w:after="0"/>
      </w:pPr>
      <w:r>
        <w:t xml:space="preserve"/>
      </w:r>
    </w:p>
    <w:p>
      <w:pPr>
        <w:pStyle w:val="Heading3"/>
        <w:spacing w:before="200" w:after="60"/>
      </w:pPr>
      <w:r>
        <w:rPr>
          <w:rFonts w:ascii="Arial" w:cs="Arial" w:eastAsia="Arial" w:hAnsi="Arial"/>
          <w:b/>
          <w:bCs/>
          <w:color w:val="2E75B6"/>
          <w:sz w:val="22"/>
          <w:szCs w:val="22"/>
        </w:rPr>
        <w:t xml:space="preserve">4.1.6 Audit Logging</w:t>
      </w:r>
    </w:p>
    <w:p>
      <w:pPr>
        <w:spacing w:before="60" w:after="80"/>
      </w:pPr>
      <w:r>
        <w:rPr>
          <w:rFonts w:ascii="Arial" w:cs="Arial" w:eastAsia="Arial" w:hAnsi="Arial"/>
          <w:sz w:val="22"/>
          <w:szCs w:val="22"/>
        </w:rPr>
        <w:t xml:space="preserve">Following the Audit Logging pattern from microservices.io, the library records user actions in a persistent store for compliance, customer support, and security investigation. Key design decisions:</w:t>
      </w:r>
    </w:p>
    <w:p>
      <w:pPr>
        <w:pStyle w:val="ListParagraph"/>
        <w:numPr>
          <w:ilvl w:val="0"/>
          <w:numId w:val="2"/>
        </w:numPr>
        <w:spacing w:before="40" w:after="40"/>
      </w:pPr>
      <w:r>
        <w:rPr>
          <w:rFonts w:ascii="Arial" w:cs="Arial" w:eastAsia="Arial" w:hAnsi="Arial"/>
          <w:b/>
          <w:bCs/>
          <w:color w:val="1F4E79"/>
          <w:sz w:val="22"/>
          <w:szCs w:val="22"/>
        </w:rPr>
        <w:t xml:space="preserve">Annotation-driven: </w:t>
      </w:r>
      <w:r>
        <w:rPr>
          <w:rFonts w:ascii="Arial" w:cs="Arial" w:eastAsia="Arial" w:hAnsi="Arial"/>
          <w:sz w:val="22"/>
          <w:szCs w:val="22"/>
        </w:rPr>
        <w:t xml:space="preserve">An @Auditable annotation on a CDI bean method triggers automatic audit record creation without coupling audit logic to business code.</w:t>
      </w:r>
    </w:p>
    <w:p>
      <w:pPr>
        <w:pStyle w:val="ListParagraph"/>
        <w:numPr>
          <w:ilvl w:val="0"/>
          <w:numId w:val="2"/>
        </w:numPr>
        <w:spacing w:before="40" w:after="40"/>
      </w:pPr>
      <w:r>
        <w:rPr>
          <w:rFonts w:ascii="Arial" w:cs="Arial" w:eastAsia="Arial" w:hAnsi="Arial"/>
          <w:b/>
          <w:bCs/>
          <w:color w:val="1F4E79"/>
          <w:sz w:val="22"/>
          <w:szCs w:val="22"/>
        </w:rPr>
        <w:t xml:space="preserve">Persistence-agnostic: </w:t>
      </w:r>
      <w:r>
        <w:rPr>
          <w:rFonts w:ascii="Arial" w:cs="Arial" w:eastAsia="Arial" w:hAnsi="Arial"/>
          <w:sz w:val="22"/>
          <w:szCs w:val="22"/>
        </w:rPr>
        <w:t xml:space="preserve">The audit writer is an injectable interface; implementations for relational databases, MongoDB, and Kafka event streams are provided.</w:t>
      </w:r>
    </w:p>
    <w:p>
      <w:pPr>
        <w:pStyle w:val="ListParagraph"/>
        <w:numPr>
          <w:ilvl w:val="0"/>
          <w:numId w:val="2"/>
        </w:numPr>
        <w:spacing w:before="40" w:after="40"/>
      </w:pPr>
      <w:r>
        <w:rPr>
          <w:rFonts w:ascii="Arial" w:cs="Arial" w:eastAsia="Arial" w:hAnsi="Arial"/>
          <w:b/>
          <w:bCs/>
          <w:color w:val="1F4E79"/>
          <w:sz w:val="22"/>
          <w:szCs w:val="22"/>
        </w:rPr>
        <w:t xml:space="preserve">Event Sourcing compatibility: </w:t>
      </w:r>
      <w:r>
        <w:rPr>
          <w:rFonts w:ascii="Arial" w:cs="Arial" w:eastAsia="Arial" w:hAnsi="Arial"/>
          <w:sz w:val="22"/>
          <w:szCs w:val="22"/>
        </w:rPr>
        <w:t xml:space="preserve">Per microservices.io, Event Sourcing is presented as a reliable mechanism for implementing audit logging. The library's audit model is designed to be compatible with an Event Sourcing store.</w:t>
      </w:r>
    </w:p>
    <w:p>
      <w:pPr>
        <w:spacing w:before="60" w:after="0"/>
      </w:pPr>
      <w:r>
        <w:t xml:space="preserve"/>
      </w:r>
    </w:p>
    <w:p>
      <w:pPr>
        <w:spacing w:before="60" w:after="80"/>
      </w:pPr>
      <w:r>
        <w:rPr>
          <w:rFonts w:ascii="Arial" w:cs="Arial" w:eastAsia="Arial" w:hAnsi="Arial"/>
          <w:sz w:val="22"/>
          <w:szCs w:val="22"/>
        </w:rPr>
        <w:t xml:space="preserve">Each audit record carries:</w:t>
      </w:r>
    </w:p>
    <w:p>
      <w:pPr>
        <w:pStyle w:val="ListParagraph"/>
        <w:numPr>
          <w:ilvl w:val="0"/>
          <w:numId w:val="2"/>
        </w:numPr>
        <w:spacing w:before="40" w:after="40"/>
      </w:pPr>
      <w:r>
        <w:rPr>
          <w:rFonts w:ascii="Arial" w:cs="Arial" w:eastAsia="Arial" w:hAnsi="Arial"/>
          <w:sz w:val="22"/>
          <w:szCs w:val="22"/>
        </w:rPr>
        <w:t xml:space="preserve">Actor identity (user_id, session_id, source IP)</w:t>
      </w:r>
    </w:p>
    <w:p>
      <w:pPr>
        <w:pStyle w:val="ListParagraph"/>
        <w:numPr>
          <w:ilvl w:val="0"/>
          <w:numId w:val="2"/>
        </w:numPr>
        <w:spacing w:before="40" w:after="40"/>
      </w:pPr>
      <w:r>
        <w:rPr>
          <w:rFonts w:ascii="Arial" w:cs="Arial" w:eastAsia="Arial" w:hAnsi="Arial"/>
          <w:sz w:val="22"/>
          <w:szCs w:val="22"/>
        </w:rPr>
        <w:t xml:space="preserve">Action type and target entity (e.g., UPDATE on Order#12345)</w:t>
      </w:r>
    </w:p>
    <w:p>
      <w:pPr>
        <w:pStyle w:val="ListParagraph"/>
        <w:numPr>
          <w:ilvl w:val="0"/>
          <w:numId w:val="2"/>
        </w:numPr>
        <w:spacing w:before="40" w:after="40"/>
      </w:pPr>
      <w:r>
        <w:rPr>
          <w:rFonts w:ascii="Arial" w:cs="Arial" w:eastAsia="Arial" w:hAnsi="Arial"/>
          <w:sz w:val="22"/>
          <w:szCs w:val="22"/>
        </w:rPr>
        <w:t xml:space="preserve">Before and after state snapshots (configurable depth)</w:t>
      </w:r>
    </w:p>
    <w:p>
      <w:pPr>
        <w:pStyle w:val="ListParagraph"/>
        <w:numPr>
          <w:ilvl w:val="0"/>
          <w:numId w:val="2"/>
        </w:numPr>
        <w:spacing w:before="40" w:after="40"/>
      </w:pPr>
      <w:r>
        <w:rPr>
          <w:rFonts w:ascii="Arial" w:cs="Arial" w:eastAsia="Arial" w:hAnsi="Arial"/>
          <w:sz w:val="22"/>
          <w:szCs w:val="22"/>
        </w:rPr>
        <w:t xml:space="preserve">High-precision timestamp in UTC</w:t>
      </w:r>
    </w:p>
    <w:p>
      <w:pPr>
        <w:pStyle w:val="ListParagraph"/>
        <w:numPr>
          <w:ilvl w:val="0"/>
          <w:numId w:val="2"/>
        </w:numPr>
        <w:spacing w:before="40" w:after="40"/>
      </w:pPr>
      <w:r>
        <w:rPr>
          <w:rFonts w:ascii="Arial" w:cs="Arial" w:eastAsia="Arial" w:hAnsi="Arial"/>
          <w:sz w:val="22"/>
          <w:szCs w:val="22"/>
        </w:rPr>
        <w:t xml:space="preserve">Trace ID for correlation with the full request trace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C55A11" w:val="clear"/>
          </w:tcPr>
          <w:p>
            <w:r>
              <w:rPr>
                <w:rFonts w:ascii="Arial" w:cs="Arial" w:eastAsia="Arial" w:hAnsi="Arial"/>
                <w:color w:val="FFFFFF"/>
                <w:sz w:val="22"/>
                <w:szCs w:val="22"/>
              </w:rPr>
              <w:t xml:space="preserve">⚠</w:t>
            </w:r>
          </w:p>
        </w:tc>
        <w:tc>
          <w:tcPr>
            <w:tcW w:type="dxa" w:w="9000"/>
            <w:tcBorders>
              <w:top w:val="none" w:color="FFFFFF" w:sz="0"/>
              <w:left w:val="none" w:color="FFFFFF" w:sz="0"/>
              <w:bottom w:val="none" w:color="FFFFFF" w:sz="0"/>
              <w:right w:val="none" w:color="FFFFFF" w:sz="0"/>
            </w:tcBorders>
            <w:shd w:fill="FFF2CC" w:val="clear"/>
            <w:tcMar>
              <w:top w:type="dxa" w:w="80"/>
              <w:left w:type="dxa" w:w="160"/>
              <w:bottom w:type="dxa" w:w="80"/>
              <w:right w:type="dxa" w:w="160"/>
            </w:tcMar>
          </w:tcPr>
          <w:p>
            <w:r>
              <w:rPr>
                <w:rFonts w:ascii="Arial" w:cs="Arial" w:eastAsia="Arial" w:hAnsi="Arial"/>
                <w:b/>
                <w:bCs/>
                <w:color w:val="C55A11"/>
                <w:sz w:val="20"/>
                <w:szCs w:val="20"/>
              </w:rPr>
              <w:t xml:space="preserve">AMBIGUITY — Audit Record Immutability</w:t>
            </w:r>
          </w:p>
          <w:p>
            <w:pPr>
              <w:spacing w:before="40"/>
            </w:pPr>
            <w:r>
              <w:rPr>
                <w:rFonts w:ascii="Arial" w:cs="Arial" w:eastAsia="Arial" w:hAnsi="Arial"/>
                <w:sz w:val="20"/>
                <w:szCs w:val="20"/>
              </w:rPr>
              <w:t xml:space="preserve">The pattern description does not specify whether audit records must be immutable or append-only. For regulatory compliance (LGPD, SOC 2), this is a critical design decision: should the library enforce immutability at the storage layer, or is that the consumer's responsibility? Furthermore, should the library support soft-deletion markers, or should deletion of audit records be explicitly prohibited?</w:t>
            </w:r>
          </w:p>
        </w:tc>
      </w:tr>
    </w:tbl>
    <w:p>
      <w:pPr>
        <w:spacing w:before="80" w:after="0"/>
      </w:pPr>
      <w:r>
        <w:t xml:space="preserve"/>
      </w:r>
    </w:p>
    <w:p>
      <w:pPr>
        <w:pStyle w:val="Heading3"/>
        <w:spacing w:before="200" w:after="60"/>
      </w:pPr>
      <w:r>
        <w:rPr>
          <w:rFonts w:ascii="Arial" w:cs="Arial" w:eastAsia="Arial" w:hAnsi="Arial"/>
          <w:b/>
          <w:bCs/>
          <w:color w:val="2E75B6"/>
          <w:sz w:val="22"/>
          <w:szCs w:val="22"/>
        </w:rPr>
        <w:t xml:space="preserve">4.1.7 Exception Tracking</w:t>
      </w:r>
    </w:p>
    <w:p>
      <w:pPr>
        <w:spacing w:before="60" w:after="80"/>
      </w:pPr>
      <w:r>
        <w:rPr>
          <w:rFonts w:ascii="Arial" w:cs="Arial" w:eastAsia="Arial" w:hAnsi="Arial"/>
          <w:sz w:val="22"/>
          <w:szCs w:val="22"/>
        </w:rPr>
        <w:t xml:space="preserve">Following the Exception Tracking pattern from microservices.io, the library reports all uncaught exceptions to a centralized tracking service. Core behaviors:</w:t>
      </w:r>
    </w:p>
    <w:p>
      <w:pPr>
        <w:pStyle w:val="ListParagraph"/>
        <w:numPr>
          <w:ilvl w:val="0"/>
          <w:numId w:val="2"/>
        </w:numPr>
        <w:spacing w:before="40" w:after="40"/>
      </w:pPr>
      <w:r>
        <w:rPr>
          <w:rFonts w:ascii="Arial" w:cs="Arial" w:eastAsia="Arial" w:hAnsi="Arial"/>
          <w:sz w:val="22"/>
          <w:szCs w:val="22"/>
        </w:rPr>
        <w:t xml:space="preserve">Automatic capture of exception class, message, and full stack trace</w:t>
      </w:r>
    </w:p>
    <w:p>
      <w:pPr>
        <w:pStyle w:val="ListParagraph"/>
        <w:numPr>
          <w:ilvl w:val="0"/>
          <w:numId w:val="2"/>
        </w:numPr>
        <w:spacing w:before="40" w:after="40"/>
      </w:pPr>
      <w:r>
        <w:rPr>
          <w:rFonts w:ascii="Arial" w:cs="Arial" w:eastAsia="Arial" w:hAnsi="Arial"/>
          <w:sz w:val="22"/>
          <w:szCs w:val="22"/>
        </w:rPr>
        <w:t xml:space="preserve">De-duplication: identical exceptions grouped by fingerprint to prevent alert storms</w:t>
      </w:r>
    </w:p>
    <w:p>
      <w:pPr>
        <w:pStyle w:val="ListParagraph"/>
        <w:numPr>
          <w:ilvl w:val="0"/>
          <w:numId w:val="2"/>
        </w:numPr>
        <w:spacing w:before="40" w:after="40"/>
      </w:pPr>
      <w:r>
        <w:rPr>
          <w:rFonts w:ascii="Arial" w:cs="Arial" w:eastAsia="Arial" w:hAnsi="Arial"/>
          <w:sz w:val="22"/>
          <w:szCs w:val="22"/>
        </w:rPr>
        <w:t xml:space="preserve">Contextual enrichment: the Who, Where, and Trace ID are automatically attached to every exception report</w:t>
      </w:r>
    </w:p>
    <w:p>
      <w:pPr>
        <w:pStyle w:val="ListParagraph"/>
        <w:numPr>
          <w:ilvl w:val="0"/>
          <w:numId w:val="2"/>
        </w:numPr>
        <w:spacing w:before="40" w:after="40"/>
      </w:pPr>
      <w:r>
        <w:rPr>
          <w:rFonts w:ascii="Arial" w:cs="Arial" w:eastAsia="Arial" w:hAnsi="Arial"/>
          <w:sz w:val="22"/>
          <w:szCs w:val="22"/>
        </w:rPr>
        <w:t xml:space="preserve">Configurable notification: webhook, email, or Slack integration when new exception types appear</w:t>
      </w:r>
    </w:p>
    <w:p>
      <w:pPr>
        <w:pStyle w:val="ListParagraph"/>
        <w:numPr>
          <w:ilvl w:val="0"/>
          <w:numId w:val="2"/>
        </w:numPr>
        <w:spacing w:before="40" w:after="40"/>
      </w:pPr>
      <w:r>
        <w:rPr>
          <w:rFonts w:ascii="Arial" w:cs="Arial" w:eastAsia="Arial" w:hAnsi="Arial"/>
          <w:sz w:val="22"/>
          <w:szCs w:val="22"/>
        </w:rPr>
        <w:t xml:space="preserve">Relationship with log aggregation: exceptions are both logged and reported — these are complementary, not competing actions</w:t>
      </w:r>
    </w:p>
    <w:p>
      <w:pPr>
        <w:spacing w:before="80" w:after="0"/>
      </w:pPr>
      <w:r>
        <w:t xml:space="preserve"/>
      </w:r>
    </w:p>
    <w:p>
      <w:pPr>
        <w:pStyle w:val="Heading3"/>
        <w:spacing w:before="200" w:after="60"/>
      </w:pPr>
      <w:r>
        <w:rPr>
          <w:rFonts w:ascii="Arial" w:cs="Arial" w:eastAsia="Arial" w:hAnsi="Arial"/>
          <w:b/>
          <w:bCs/>
          <w:color w:val="2E75B6"/>
          <w:sz w:val="22"/>
          <w:szCs w:val="22"/>
        </w:rPr>
        <w:t xml:space="preserve">4.1.8 Health Check API</w:t>
      </w:r>
    </w:p>
    <w:p>
      <w:pPr>
        <w:spacing w:before="60" w:after="80"/>
      </w:pPr>
      <w:r>
        <w:rPr>
          <w:rFonts w:ascii="Arial" w:cs="Arial" w:eastAsia="Arial" w:hAnsi="Arial"/>
          <w:sz w:val="22"/>
          <w:szCs w:val="22"/>
        </w:rPr>
        <w:t xml:space="preserve">Following the Health Check API pattern from microservices.io, the library exposes a structured health endpoint. A service instance may be running but incapable of handling requests (e.g., exhausted database connection pool). The health endpoint covers:</w:t>
      </w:r>
    </w:p>
    <w:p>
      <w:pPr>
        <w:pStyle w:val="ListParagraph"/>
        <w:numPr>
          <w:ilvl w:val="0"/>
          <w:numId w:val="2"/>
        </w:numPr>
        <w:spacing w:before="40" w:after="40"/>
      </w:pPr>
      <w:r>
        <w:rPr>
          <w:rFonts w:ascii="Arial" w:cs="Arial" w:eastAsia="Arial" w:hAnsi="Arial"/>
          <w:sz w:val="22"/>
          <w:szCs w:val="22"/>
        </w:rPr>
        <w:t xml:space="preserve">Liveness probe: is the JVM process alive?</w:t>
      </w:r>
    </w:p>
    <w:p>
      <w:pPr>
        <w:pStyle w:val="ListParagraph"/>
        <w:numPr>
          <w:ilvl w:val="0"/>
          <w:numId w:val="2"/>
        </w:numPr>
        <w:spacing w:before="40" w:after="40"/>
      </w:pPr>
      <w:r>
        <w:rPr>
          <w:rFonts w:ascii="Arial" w:cs="Arial" w:eastAsia="Arial" w:hAnsi="Arial"/>
          <w:sz w:val="22"/>
          <w:szCs w:val="22"/>
        </w:rPr>
        <w:t xml:space="preserve">Readiness probe: is the service ready to receive traffic? (checks database connections, downstream HTTP dependencies, disk space)</w:t>
      </w:r>
    </w:p>
    <w:p>
      <w:pPr>
        <w:pStyle w:val="ListParagraph"/>
        <w:numPr>
          <w:ilvl w:val="0"/>
          <w:numId w:val="2"/>
        </w:numPr>
        <w:spacing w:before="40" w:after="40"/>
      </w:pPr>
      <w:r>
        <w:rPr>
          <w:rFonts w:ascii="Arial" w:cs="Arial" w:eastAsia="Arial" w:hAnsi="Arial"/>
          <w:sz w:val="22"/>
          <w:szCs w:val="22"/>
        </w:rPr>
        <w:t xml:space="preserve">Infrastructure health indicators: database pool status, external API reachability, cache connectivity</w:t>
      </w:r>
    </w:p>
    <w:p>
      <w:pPr>
        <w:pStyle w:val="ListParagraph"/>
        <w:numPr>
          <w:ilvl w:val="0"/>
          <w:numId w:val="2"/>
        </w:numPr>
        <w:spacing w:before="40" w:after="40"/>
      </w:pPr>
      <w:r>
        <w:rPr>
          <w:rFonts w:ascii="Arial" w:cs="Arial" w:eastAsia="Arial" w:hAnsi="Arial"/>
          <w:sz w:val="22"/>
          <w:szCs w:val="22"/>
        </w:rPr>
        <w:t xml:space="preserve">Application-specific health logic via a composable HealthContributor interface</w:t>
      </w:r>
    </w:p>
    <w:p>
      <w:pPr>
        <w:pStyle w:val="ListParagraph"/>
        <w:numPr>
          <w:ilvl w:val="0"/>
          <w:numId w:val="2"/>
        </w:numPr>
        <w:spacing w:before="40" w:after="40"/>
      </w:pPr>
      <w:r>
        <w:rPr>
          <w:rFonts w:ascii="Arial" w:cs="Arial" w:eastAsia="Arial" w:hAnsi="Arial"/>
          <w:sz w:val="22"/>
          <w:szCs w:val="22"/>
        </w:rPr>
        <w:t xml:space="preserve">Structured JSON response compatible with Kubernetes liveness/readiness probes and load balancer health checks</w:t>
      </w:r>
    </w:p>
    <w:p>
      <w:pPr>
        <w:spacing w:before="80" w:after="0"/>
      </w:pPr>
      <w:r>
        <w:t xml:space="preserve"/>
      </w:r>
    </w:p>
    <w:p>
      <w:pPr>
        <w:pStyle w:val="Heading3"/>
        <w:spacing w:before="200" w:after="60"/>
      </w:pPr>
      <w:r>
        <w:rPr>
          <w:rFonts w:ascii="Arial" w:cs="Arial" w:eastAsia="Arial" w:hAnsi="Arial"/>
          <w:b/>
          <w:bCs/>
          <w:color w:val="2E75B6"/>
          <w:sz w:val="22"/>
          <w:szCs w:val="22"/>
        </w:rPr>
        <w:t xml:space="preserve">4.1.9 Business Value via Structured Logs</w:t>
      </w:r>
    </w:p>
    <w:p>
      <w:pPr>
        <w:spacing w:before="60" w:after="80"/>
      </w:pPr>
      <w:r>
        <w:rPr>
          <w:rFonts w:ascii="Arial" w:cs="Arial" w:eastAsia="Arial" w:hAnsi="Arial"/>
          <w:sz w:val="22"/>
          <w:szCs w:val="22"/>
        </w:rPr>
        <w:t xml:space="preserve">Taylor Scott identifies four categories of business value that emerge when logs are properly structured:</w:t>
      </w:r>
    </w:p>
    <w:p>
      <w:pPr>
        <w:pStyle w:val="ListParagraph"/>
        <w:numPr>
          <w:ilvl w:val="0"/>
          <w:numId w:val="2"/>
        </w:numPr>
        <w:spacing w:before="40" w:after="40"/>
      </w:pPr>
      <w:r>
        <w:rPr>
          <w:rFonts w:ascii="Arial" w:cs="Arial" w:eastAsia="Arial" w:hAnsi="Arial"/>
          <w:b/>
          <w:bCs/>
          <w:color w:val="1F4E79"/>
          <w:sz w:val="22"/>
          <w:szCs w:val="22"/>
        </w:rPr>
        <w:t xml:space="preserve">Business Analytics: </w:t>
      </w:r>
      <w:r>
        <w:rPr>
          <w:rFonts w:ascii="Arial" w:cs="Arial" w:eastAsia="Arial" w:hAnsi="Arial"/>
          <w:sz w:val="22"/>
          <w:szCs w:val="22"/>
        </w:rPr>
        <w:t xml:space="preserve">Structured events enable Kibana/Grafana dashboards showing cart abandonment rates, conversion funnels, and geographic revenue distribution — without a separate analytics pipeline.</w:t>
      </w:r>
    </w:p>
    <w:p>
      <w:pPr>
        <w:pStyle w:val="ListParagraph"/>
        <w:numPr>
          <w:ilvl w:val="0"/>
          <w:numId w:val="2"/>
        </w:numPr>
        <w:spacing w:before="40" w:after="40"/>
      </w:pPr>
      <w:r>
        <w:rPr>
          <w:rFonts w:ascii="Arial" w:cs="Arial" w:eastAsia="Arial" w:hAnsi="Arial"/>
          <w:b/>
          <w:bCs/>
          <w:color w:val="1F4E79"/>
          <w:sz w:val="22"/>
          <w:szCs w:val="22"/>
        </w:rPr>
        <w:t xml:space="preserve">Audit and Proof of Innocence: </w:t>
      </w:r>
      <w:r>
        <w:rPr>
          <w:rFonts w:ascii="Arial" w:cs="Arial" w:eastAsia="Arial" w:hAnsi="Arial"/>
          <w:sz w:val="22"/>
          <w:szCs w:val="22"/>
        </w:rPr>
        <w:t xml:space="preserve">When a third-party API (payment gateway, shipping provider) blames your service for a failure, the logged request body and timestamp provide irrefutable technical evidence.</w:t>
      </w:r>
    </w:p>
    <w:p>
      <w:pPr>
        <w:pStyle w:val="ListParagraph"/>
        <w:numPr>
          <w:ilvl w:val="0"/>
          <w:numId w:val="2"/>
        </w:numPr>
        <w:spacing w:before="40" w:after="40"/>
      </w:pPr>
      <w:r>
        <w:rPr>
          <w:rFonts w:ascii="Arial" w:cs="Arial" w:eastAsia="Arial" w:hAnsi="Arial"/>
          <w:b/>
          <w:bCs/>
          <w:color w:val="1F4E79"/>
          <w:sz w:val="22"/>
          <w:szCs w:val="22"/>
        </w:rPr>
        <w:t xml:space="preserve">Proactive ML-based anomaly detection: </w:t>
      </w:r>
      <w:r>
        <w:rPr>
          <w:rFonts w:ascii="Arial" w:cs="Arial" w:eastAsia="Arial" w:hAnsi="Arial"/>
          <w:sz w:val="22"/>
          <w:szCs w:val="22"/>
        </w:rPr>
        <w:t xml:space="preserve">Consistent field names and formats allow anomaly detection models to trigger alerts on deviations — e.g., a 80% drop in ORDER_CREATED events compared to the hourly average signals a conversion-blocking UI bug even in the absence of error logs.</w:t>
      </w:r>
    </w:p>
    <w:p>
      <w:pPr>
        <w:pStyle w:val="ListParagraph"/>
        <w:numPr>
          <w:ilvl w:val="0"/>
          <w:numId w:val="2"/>
        </w:numPr>
        <w:spacing w:before="40" w:after="40"/>
      </w:pPr>
      <w:r>
        <w:rPr>
          <w:rFonts w:ascii="Arial" w:cs="Arial" w:eastAsia="Arial" w:hAnsi="Arial"/>
          <w:b/>
          <w:bCs/>
          <w:color w:val="1F4E79"/>
          <w:sz w:val="22"/>
          <w:szCs w:val="22"/>
        </w:rPr>
        <w:t xml:space="preserve">Performance optimization: </w:t>
      </w:r>
      <w:r>
        <w:rPr>
          <w:rFonts w:ascii="Arial" w:cs="Arial" w:eastAsia="Arial" w:hAnsi="Arial"/>
          <w:sz w:val="22"/>
          <w:szCs w:val="22"/>
        </w:rPr>
        <w:t xml:space="preserve">Timestamps at request start and end allow aggregate latency analysis by route, identifying which endpoints account for the majority of user-facing slowness.</w:t>
      </w:r>
    </w:p>
    <w:p>
      <w:pPr>
        <w:spacing w:before="12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4.2 Out of Scope (Limitations)</w:t>
      </w:r>
    </w:p>
    <w:p>
      <w:pPr>
        <w:spacing w:before="60" w:after="80"/>
      </w:pPr>
      <w:r>
        <w:rPr>
          <w:rFonts w:ascii="Arial" w:cs="Arial" w:eastAsia="Arial" w:hAnsi="Arial"/>
          <w:sz w:val="22"/>
          <w:szCs w:val="22"/>
        </w:rPr>
        <w:t xml:space="preserve">The following capabilities are explicitly excluded from the initial scope:</w:t>
      </w:r>
    </w:p>
    <w:p>
      <w:pPr>
        <w:pStyle w:val="ListParagraph"/>
        <w:numPr>
          <w:ilvl w:val="0"/>
          <w:numId w:val="2"/>
        </w:numPr>
        <w:spacing w:before="40" w:after="40"/>
      </w:pPr>
      <w:r>
        <w:rPr>
          <w:rFonts w:ascii="Arial" w:cs="Arial" w:eastAsia="Arial" w:hAnsi="Arial"/>
          <w:sz w:val="22"/>
          <w:szCs w:val="22"/>
        </w:rPr>
        <w:t xml:space="preserve">Log aggregation infrastructure: OBSERVA4J emits structured logs to stdout/file; the aggregation pipeline (Fluentd, Logstash, Vector) is the consumer's responsibility.</w:t>
      </w:r>
    </w:p>
    <w:p>
      <w:pPr>
        <w:pStyle w:val="ListParagraph"/>
        <w:numPr>
          <w:ilvl w:val="0"/>
          <w:numId w:val="2"/>
        </w:numPr>
        <w:spacing w:before="40" w:after="40"/>
      </w:pPr>
      <w:r>
        <w:rPr>
          <w:rFonts w:ascii="Arial" w:cs="Arial" w:eastAsia="Arial" w:hAnsi="Arial"/>
          <w:sz w:val="22"/>
          <w:szCs w:val="22"/>
        </w:rPr>
        <w:t xml:space="preserve">Trace storage and UI: the library exports spans; operating a Jaeger or Zipkin server is outside the library's boundary.</w:t>
      </w:r>
    </w:p>
    <w:p>
      <w:pPr>
        <w:pStyle w:val="ListParagraph"/>
        <w:numPr>
          <w:ilvl w:val="0"/>
          <w:numId w:val="2"/>
        </w:numPr>
        <w:spacing w:before="40" w:after="40"/>
      </w:pPr>
      <w:r>
        <w:rPr>
          <w:rFonts w:ascii="Arial" w:cs="Arial" w:eastAsia="Arial" w:hAnsi="Arial"/>
          <w:sz w:val="22"/>
          <w:szCs w:val="22"/>
        </w:rPr>
        <w:t xml:space="preserve">Metrics storage and dashboards: the library exposes a /q/metrics endpoint; configuring Prometheus scraping and Grafana dashboards is out of scope.</w:t>
      </w:r>
    </w:p>
    <w:p>
      <w:pPr>
        <w:pStyle w:val="ListParagraph"/>
        <w:numPr>
          <w:ilvl w:val="0"/>
          <w:numId w:val="2"/>
        </w:numPr>
        <w:spacing w:before="40" w:after="40"/>
      </w:pPr>
      <w:r>
        <w:rPr>
          <w:rFonts w:ascii="Arial" w:cs="Arial" w:eastAsia="Arial" w:hAnsi="Arial"/>
          <w:sz w:val="22"/>
          <w:szCs w:val="22"/>
        </w:rPr>
        <w:t xml:space="preserve">Non-Quarkus frameworks: the library targets Quarkus 3.x; Spring Boot, Micronaut, or plain Java SE integrations are not in scope for v1.</w:t>
      </w:r>
    </w:p>
    <w:p>
      <w:pPr>
        <w:pStyle w:val="ListParagraph"/>
        <w:numPr>
          <w:ilvl w:val="0"/>
          <w:numId w:val="2"/>
        </w:numPr>
        <w:spacing w:before="40" w:after="40"/>
      </w:pPr>
      <w:r>
        <w:rPr>
          <w:rFonts w:ascii="Arial" w:cs="Arial" w:eastAsia="Arial" w:hAnsi="Arial"/>
          <w:sz w:val="22"/>
          <w:szCs w:val="22"/>
        </w:rPr>
        <w:t xml:space="preserve">Non-Java languages: polyglot microservice environments require language-specific implementations; v1 covers Java 21 only.</w:t>
      </w:r>
    </w:p>
    <w:p>
      <w:pPr>
        <w:pStyle w:val="ListParagraph"/>
        <w:numPr>
          <w:ilvl w:val="0"/>
          <w:numId w:val="2"/>
        </w:numPr>
        <w:spacing w:before="40" w:after="40"/>
      </w:pPr>
      <w:r>
        <w:rPr>
          <w:rFonts w:ascii="Arial" w:cs="Arial" w:eastAsia="Arial" w:hAnsi="Arial"/>
          <w:sz w:val="22"/>
          <w:szCs w:val="22"/>
        </w:rPr>
        <w:t xml:space="preserve">Log retention policy enforcement: deciding how long logs are kept is a platform concern, not a library concern.</w:t>
      </w:r>
    </w:p>
    <w:p>
      <w:pPr>
        <w:spacing w:before="120" w:after="0"/>
      </w:pPr>
      <w:r>
        <w:t xml:space="preserve"/>
      </w:r>
    </w:p>
    <w:p>
      <w:r>
        <w:br w:type="pag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5. Rules and Principles</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5.1 Coding Standards</w:t>
      </w:r>
    </w:p>
    <w:p>
      <w:pPr>
        <w:pStyle w:val="ListParagraph"/>
        <w:numPr>
          <w:ilvl w:val="0"/>
          <w:numId w:val="2"/>
        </w:numPr>
        <w:spacing w:before="40" w:after="40"/>
      </w:pPr>
      <w:r>
        <w:rPr>
          <w:rFonts w:ascii="Arial" w:cs="Arial" w:eastAsia="Arial" w:hAnsi="Arial"/>
          <w:b/>
          <w:bCs/>
          <w:color w:val="1F4E79"/>
          <w:sz w:val="22"/>
          <w:szCs w:val="22"/>
        </w:rPr>
        <w:t xml:space="preserve">Java 21: </w:t>
      </w:r>
      <w:r>
        <w:rPr>
          <w:rFonts w:ascii="Arial" w:cs="Arial" w:eastAsia="Arial" w:hAnsi="Arial"/>
          <w:sz w:val="22"/>
          <w:szCs w:val="22"/>
        </w:rPr>
        <w:t xml:space="preserve">The library uses Java 21 language features: records for immutable value objects, sealed interfaces for event type hierarchies, pattern matching for instanceof checks, and virtual threads (Project Loom) for non-blocking context propagation.</w:t>
      </w:r>
    </w:p>
    <w:p>
      <w:pPr>
        <w:pStyle w:val="ListParagraph"/>
        <w:numPr>
          <w:ilvl w:val="0"/>
          <w:numId w:val="2"/>
        </w:numPr>
        <w:spacing w:before="40" w:after="40"/>
      </w:pPr>
      <w:r>
        <w:rPr>
          <w:rFonts w:ascii="Arial" w:cs="Arial" w:eastAsia="Arial" w:hAnsi="Arial"/>
          <w:b/>
          <w:bCs/>
          <w:color w:val="1F4E79"/>
          <w:sz w:val="22"/>
          <w:szCs w:val="22"/>
        </w:rPr>
        <w:t xml:space="preserve">Quarkus 3.20 CDI: </w:t>
      </w:r>
      <w:r>
        <w:rPr>
          <w:rFonts w:ascii="Arial" w:cs="Arial" w:eastAsia="Arial" w:hAnsi="Arial"/>
          <w:sz w:val="22"/>
          <w:szCs w:val="22"/>
        </w:rPr>
        <w:t xml:space="preserve">Injection points use @ApplicationScoped and @RequestScoped beans. No Spring annotations.</w:t>
      </w:r>
    </w:p>
    <w:p>
      <w:pPr>
        <w:pStyle w:val="ListParagraph"/>
        <w:numPr>
          <w:ilvl w:val="0"/>
          <w:numId w:val="2"/>
        </w:numPr>
        <w:spacing w:before="40" w:after="40"/>
      </w:pPr>
      <w:r>
        <w:rPr>
          <w:rFonts w:ascii="Arial" w:cs="Arial" w:eastAsia="Arial" w:hAnsi="Arial"/>
          <w:b/>
          <w:bCs/>
          <w:color w:val="1F4E79"/>
          <w:sz w:val="22"/>
          <w:szCs w:val="22"/>
        </w:rPr>
        <w:t xml:space="preserve">Immutability by default: </w:t>
      </w:r>
      <w:r>
        <w:rPr>
          <w:rFonts w:ascii="Arial" w:cs="Arial" w:eastAsia="Arial" w:hAnsi="Arial"/>
          <w:sz w:val="22"/>
          <w:szCs w:val="22"/>
        </w:rPr>
        <w:t xml:space="preserve">All log event and audit record objects are immutable value types (Java records or @Value-equivalent classes).</w:t>
      </w:r>
    </w:p>
    <w:p>
      <w:pPr>
        <w:pStyle w:val="ListParagraph"/>
        <w:numPr>
          <w:ilvl w:val="0"/>
          <w:numId w:val="2"/>
        </w:numPr>
        <w:spacing w:before="40" w:after="40"/>
      </w:pPr>
      <w:r>
        <w:rPr>
          <w:rFonts w:ascii="Arial" w:cs="Arial" w:eastAsia="Arial" w:hAnsi="Arial"/>
          <w:b/>
          <w:bCs/>
          <w:color w:val="1F4E79"/>
          <w:sz w:val="22"/>
          <w:szCs w:val="22"/>
        </w:rPr>
        <w:t xml:space="preserve">No silent failures: </w:t>
      </w:r>
      <w:r>
        <w:rPr>
          <w:rFonts w:ascii="Arial" w:cs="Arial" w:eastAsia="Arial" w:hAnsi="Arial"/>
          <w:sz w:val="22"/>
          <w:szCs w:val="22"/>
        </w:rPr>
        <w:t xml:space="preserve">Observability infrastructure failures (e.g., cannot reach the tracing backend) must be logged to the local fallback appender and must never propagate as business exceptions.</w:t>
      </w:r>
    </w:p>
    <w:p>
      <w:pPr>
        <w:pStyle w:val="ListParagraph"/>
        <w:numPr>
          <w:ilvl w:val="0"/>
          <w:numId w:val="2"/>
        </w:numPr>
        <w:spacing w:before="40" w:after="40"/>
      </w:pPr>
      <w:r>
        <w:rPr>
          <w:rFonts w:ascii="Arial" w:cs="Arial" w:eastAsia="Arial" w:hAnsi="Arial"/>
          <w:b/>
          <w:bCs/>
          <w:color w:val="1F4E79"/>
          <w:sz w:val="22"/>
          <w:szCs w:val="22"/>
        </w:rPr>
        <w:t xml:space="preserve">Minimal runtime overhead: </w:t>
      </w:r>
      <w:r>
        <w:rPr>
          <w:rFonts w:ascii="Arial" w:cs="Arial" w:eastAsia="Arial" w:hAnsi="Arial"/>
          <w:sz w:val="22"/>
          <w:szCs w:val="22"/>
        </w:rPr>
        <w:t xml:space="preserve">Per microservices.io, all solutions must have minimal runtime overhead. Context injection must be O(1); JSON serialization must use a pre-compiled schema.</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5.2 Naming Conventions</w:t>
      </w:r>
    </w:p>
    <w:p>
      <w:pPr>
        <w:spacing w:before="60" w:after="80"/>
      </w:pPr>
      <w:r>
        <w:rPr>
          <w:rFonts w:ascii="Arial" w:cs="Arial" w:eastAsia="Arial" w:hAnsi="Arial"/>
          <w:sz w:val="22"/>
          <w:szCs w:val="22"/>
        </w:rPr>
        <w:t xml:space="preserve">The following canonical field names are reserved and must be used consistently across all services. Using synonyms is a violation of the consistency principle.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5 W Dimension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user_id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Authenticated user's persistent identifier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Who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visitor_token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visitor identifier (pre-login)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Who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request_id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 for one HTTP request lifecycle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trace_id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OpenTelemetry trace identifier (cross-service)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Where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span_id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OpenTelemetry span identifier (per operation)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hostname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Hostname or container name of the emitting instance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Where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pid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 process identifier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queue_name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job queue name (Sidekiq / ActiveJob equivalent in Java)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Where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job_id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Background job unique identifier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ISO-8601 UTC timestamp with milliseconds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When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event_type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Machine-readable event name (e.g., ORDER_COMPLETED)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What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message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event description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What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severity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level: TRACE / DEBUG / INFO / WARN / ERROR / FATAL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What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exception_class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qualified exception class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What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exception_message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 message string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What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stack_trace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stack trace as structured array or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Where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C55A11" w:val="clear"/>
          </w:tcPr>
          <w:p>
            <w:r>
              <w:rPr>
                <w:rFonts w:ascii="Arial" w:cs="Arial" w:eastAsia="Arial" w:hAnsi="Arial"/>
                <w:color w:val="FFFFFF"/>
                <w:sz w:val="22"/>
                <w:szCs w:val="22"/>
              </w:rPr>
              <w:t xml:space="preserve">⚠</w:t>
            </w:r>
          </w:p>
        </w:tc>
        <w:tc>
          <w:tcPr>
            <w:tcW w:type="dxa" w:w="9000"/>
            <w:tcBorders>
              <w:top w:val="none" w:color="FFFFFF" w:sz="0"/>
              <w:left w:val="none" w:color="FFFFFF" w:sz="0"/>
              <w:bottom w:val="none" w:color="FFFFFF" w:sz="0"/>
              <w:right w:val="none" w:color="FFFFFF" w:sz="0"/>
            </w:tcBorders>
            <w:shd w:fill="FFF2CC" w:val="clear"/>
            <w:tcMar>
              <w:top w:type="dxa" w:w="80"/>
              <w:left w:type="dxa" w:w="160"/>
              <w:bottom w:type="dxa" w:w="80"/>
              <w:right w:type="dxa" w:w="160"/>
            </w:tcMar>
          </w:tcPr>
          <w:p>
            <w:r>
              <w:rPr>
                <w:rFonts w:ascii="Arial" w:cs="Arial" w:eastAsia="Arial" w:hAnsi="Arial"/>
                <w:b/>
                <w:bCs/>
                <w:color w:val="C55A11"/>
                <w:sz w:val="20"/>
                <w:szCs w:val="20"/>
              </w:rPr>
              <w:t xml:space="preserve">AMBIGUITY — Field Name Collisions with Existing Standards</w:t>
            </w:r>
          </w:p>
          <w:p>
            <w:pPr>
              <w:spacing w:before="40"/>
            </w:pPr>
            <w:r>
              <w:rPr>
                <w:rFonts w:ascii="Arial" w:cs="Arial" w:eastAsia="Arial" w:hAnsi="Arial"/>
                <w:sz w:val="20"/>
                <w:szCs w:val="20"/>
              </w:rPr>
              <w:t xml:space="preserve">OpenTelemetry uses 'trace_id' and 'span_id'. Elasticsearch Common Schema (ECS) uses 'trace.id' (dot notation) and 'span.id'. Logstash and Datadog have their own conventions. The library must decide: (1) Does it adopt ECS dot-notation fields? (2) Does it provide an adapter layer to remap fields for different backends? (3) Are both flat and nested JSON outputs supported? These decisions affect every consumer team's Kibana index mappings.</w:t>
            </w:r>
          </w:p>
        </w:tc>
      </w:tr>
    </w:tbl>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5.3 Best Practices to be Followed</w:t>
      </w:r>
    </w:p>
    <w:p>
      <w:pPr>
        <w:pStyle w:val="ListParagraph"/>
        <w:numPr>
          <w:ilvl w:val="0"/>
          <w:numId w:val="2"/>
        </w:numPr>
        <w:spacing w:before="40" w:after="40"/>
      </w:pPr>
      <w:r>
        <w:rPr>
          <w:rFonts w:ascii="Arial" w:cs="Arial" w:eastAsia="Arial" w:hAnsi="Arial"/>
          <w:b/>
          <w:bCs/>
          <w:color w:val="1F4E79"/>
          <w:sz w:val="22"/>
          <w:szCs w:val="22"/>
        </w:rPr>
        <w:t xml:space="preserve">Pass the full exception object: </w:t>
      </w:r>
      <w:r>
        <w:rPr>
          <w:rFonts w:ascii="Arial" w:cs="Arial" w:eastAsia="Arial" w:hAnsi="Arial"/>
          <w:sz w:val="22"/>
          <w:szCs w:val="22"/>
        </w:rPr>
        <w:t xml:space="preserve">Never log only exception.getMessage(). Always pass the exception object so the formatter can extract backtrace, exception class, and cause chain. This determines whether you open a bug in your own codebase or in a dependency.</w:t>
      </w:r>
    </w:p>
    <w:p>
      <w:pPr>
        <w:pStyle w:val="ListParagraph"/>
        <w:numPr>
          <w:ilvl w:val="0"/>
          <w:numId w:val="2"/>
        </w:numPr>
        <w:spacing w:before="40" w:after="40"/>
      </w:pPr>
      <w:r>
        <w:rPr>
          <w:rFonts w:ascii="Arial" w:cs="Arial" w:eastAsia="Arial" w:hAnsi="Arial"/>
          <w:b/>
          <w:bCs/>
          <w:color w:val="1F4E79"/>
          <w:sz w:val="22"/>
          <w:szCs w:val="22"/>
        </w:rPr>
        <w:t xml:space="preserve">Dynamic over static messages: </w:t>
      </w:r>
      <w:r>
        <w:rPr>
          <w:rFonts w:ascii="Arial" w:cs="Arial" w:eastAsia="Arial" w:hAnsi="Arial"/>
          <w:sz w:val="22"/>
          <w:szCs w:val="22"/>
        </w:rPr>
        <w:t xml:space="preserve">Log messages must include entity identifiers. "Error saving" is forbidden. "Error saving Order#12345: duplicate key" is required.</w:t>
      </w:r>
    </w:p>
    <w:p>
      <w:pPr>
        <w:pStyle w:val="ListParagraph"/>
        <w:numPr>
          <w:ilvl w:val="0"/>
          <w:numId w:val="2"/>
        </w:numPr>
        <w:spacing w:before="40" w:after="40"/>
      </w:pPr>
      <w:r>
        <w:rPr>
          <w:rFonts w:ascii="Arial" w:cs="Arial" w:eastAsia="Arial" w:hAnsi="Arial"/>
          <w:b/>
          <w:bCs/>
          <w:color w:val="1F4E79"/>
          <w:sz w:val="22"/>
          <w:szCs w:val="22"/>
        </w:rPr>
        <w:t xml:space="preserve">Entity state at event time: </w:t>
      </w:r>
      <w:r>
        <w:rPr>
          <w:rFonts w:ascii="Arial" w:cs="Arial" w:eastAsia="Arial" w:hAnsi="Arial"/>
          <w:sz w:val="22"/>
          <w:szCs w:val="22"/>
        </w:rPr>
        <w:t xml:space="preserve">Log the relevant state of the entity at the moment of the event, not just its identifier. This allows post-incident reconstruction without querying the database.</w:t>
      </w:r>
    </w:p>
    <w:p>
      <w:pPr>
        <w:pStyle w:val="ListParagraph"/>
        <w:numPr>
          <w:ilvl w:val="0"/>
          <w:numId w:val="2"/>
        </w:numPr>
        <w:spacing w:before="40" w:after="40"/>
      </w:pPr>
      <w:r>
        <w:rPr>
          <w:rFonts w:ascii="Arial" w:cs="Arial" w:eastAsia="Arial" w:hAnsi="Arial"/>
          <w:b/>
          <w:bCs/>
          <w:color w:val="1F4E79"/>
          <w:sz w:val="22"/>
          <w:szCs w:val="22"/>
        </w:rPr>
        <w:t xml:space="preserve">Log rotation: </w:t>
      </w:r>
      <w:r>
        <w:rPr>
          <w:rFonts w:ascii="Arial" w:cs="Arial" w:eastAsia="Arial" w:hAnsi="Arial"/>
          <w:sz w:val="22"/>
          <w:szCs w:val="22"/>
        </w:rPr>
        <w:t xml:space="preserve">Applications must configure log rotation by both size and time to prevent storage exhaustion that can itself cause service failure.</w:t>
      </w:r>
    </w:p>
    <w:p>
      <w:pPr>
        <w:pStyle w:val="ListParagraph"/>
        <w:numPr>
          <w:ilvl w:val="0"/>
          <w:numId w:val="2"/>
        </w:numPr>
        <w:spacing w:before="40" w:after="40"/>
      </w:pPr>
      <w:r>
        <w:rPr>
          <w:rFonts w:ascii="Arial" w:cs="Arial" w:eastAsia="Arial" w:hAnsi="Arial"/>
          <w:b/>
          <w:bCs/>
          <w:color w:val="1F4E79"/>
          <w:sz w:val="22"/>
          <w:szCs w:val="22"/>
        </w:rPr>
        <w:t xml:space="preserve">UTC everywhere: </w:t>
      </w:r>
      <w:r>
        <w:rPr>
          <w:rFonts w:ascii="Arial" w:cs="Arial" w:eastAsia="Arial" w:hAnsi="Arial"/>
          <w:sz w:val="22"/>
          <w:szCs w:val="22"/>
        </w:rPr>
        <w:t xml:space="preserve">All timestamps must be in UTC. Local timezone timestamps in distributed systems produce misleading timelines.</w:t>
      </w:r>
    </w:p>
    <w:p>
      <w:pPr>
        <w:pStyle w:val="ListParagraph"/>
        <w:numPr>
          <w:ilvl w:val="0"/>
          <w:numId w:val="2"/>
        </w:numPr>
        <w:spacing w:before="40" w:after="40"/>
      </w:pPr>
      <w:r>
        <w:rPr>
          <w:rFonts w:ascii="Arial" w:cs="Arial" w:eastAsia="Arial" w:hAnsi="Arial"/>
          <w:b/>
          <w:bCs/>
          <w:color w:val="1F4E79"/>
          <w:sz w:val="22"/>
          <w:szCs w:val="22"/>
        </w:rPr>
        <w:t xml:space="preserve">Structured over interpolated: </w:t>
      </w:r>
      <w:r>
        <w:rPr>
          <w:rFonts w:ascii="Arial" w:cs="Arial" w:eastAsia="Arial" w:hAnsi="Arial"/>
          <w:sz w:val="22"/>
          <w:szCs w:val="22"/>
        </w:rPr>
        <w:t xml:space="preserve">Prefer structured key-value pairs over string interpolation. log.info("Order saved", Map.of("order_id", id)) over log.info("Order " + id + " saved").</w:t>
      </w:r>
    </w:p>
    <w:p>
      <w:pPr>
        <w:spacing w:before="120" w:after="0"/>
      </w:pPr>
      <w:r>
        <w:t xml:space="preserve"/>
      </w:r>
    </w:p>
    <w:p>
      <w:r>
        <w:br w:type="pag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6. Fundamental Concepts</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6.1 Glossary</w:t>
      </w:r>
    </w:p>
    <w:p>
      <w:pPr>
        <w:spacing w:before="60" w:after="80"/>
      </w:pPr>
      <w:r>
        <w:rPr>
          <w:rFonts w:ascii="Arial" w:cs="Arial" w:eastAsia="Arial" w:hAnsi="Arial"/>
          <w:sz w:val="22"/>
          <w:szCs w:val="22"/>
        </w:rPr>
        <w:t xml:space="preserve">The following terms are used throughout this document and throughout the library's API: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Observability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ability to infer the internal state of a system from its external outputs (logs, traces, metrics). Coined by control theory; adopted in software by the SRE community.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Structured 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log entry represented as a machine-parseable data structure (typically JSON) with named fields, as opposed to a plain text line.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MDC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Mapped Diagnostic Context — a thread-local map in SLF4J/Logback that stores key-value pairs automatically appended to every log event. Java's equivalent of Ruby's Tagged Logger.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Request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UUID generated once per HTTP request and propagated through all log lines and downstream service calls generated by that request. Enables full-request filtering in log aggregators.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Trace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OpenTelemetry identifier that spans multiple services and correlates all spans in a single end-to-end user operation. Broader than Request ID in distributed systems.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Span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unit of work within a trace — e.g., a database query, an HTTP call to a downstream service, or a message publish. Spans form a tree structure under a Trace.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Telemetry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automated collection and transmission of measurements from a remote or distributed system. In this context: metrics, logs, and traces collectively.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Audit 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persistent, append-only record of user actions on business entities, maintained for compliance, security investigation, and customer support.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Event Sourcing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architectural pattern where state changes are recorded as an immutable sequence of events. Provides a natural audit trail and is recommended by microservices.io as a reliable audit logging implementation strategy.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5 Ws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logging framework from Taylor Scott (SolidusConf 2020): Who, What, When, Where, Why — the five questions every useful log event must be able to answer.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Health Check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HTTP endpoint (typically /health or /q/health in Quarkus) that returns the operational status of a service instance and its dependencies. Used by load balancers and service registries.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Tracking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practice of reporting exceptions to a centralized service (e.g., Sentry, Rollbar) for de-duplication, aggregation, and developer notification — distinct from and complementary to log aggregation.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Log Aggregation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collection of log files from multiple service instances into a centralized, searchable store (e.g., Elasticsearch + Kibana, Loki + Grafana).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OpenTelemetry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CNCF standard providing a vendor-neutral API, SDK, and instrumentation for traces, metrics, and logs. The preferred standard for distributed tracing in modern Java microservices.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Sampling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practice of recording only a percentage of traces to reduce storage and processing overhead. Head-based sampling decides at trace start; tail-based sampling decides after completion.</w:t>
            </w:r>
          </w:p>
        </w:tc>
      </w:tr>
    </w:tbl>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6.2 Main Models and Abstractions</w:t>
      </w:r>
    </w:p>
    <w:p>
      <w:pPr>
        <w:spacing w:before="60" w:after="80"/>
      </w:pPr>
      <w:r>
        <w:rPr>
          <w:rFonts w:ascii="Arial" w:cs="Arial" w:eastAsia="Arial" w:hAnsi="Arial"/>
          <w:sz w:val="22"/>
          <w:szCs w:val="22"/>
        </w:rPr>
        <w:t xml:space="preserve">The library defines the following core abstractions. These are conceptual; implementation details are deferred to the design phase.</w:t>
      </w:r>
    </w:p>
    <w:p>
      <w:pPr>
        <w:spacing w:before="60" w:after="0"/>
      </w:pPr>
      <w:r>
        <w:t xml:space="preserve"/>
      </w:r>
    </w:p>
    <w:p>
      <w:pPr>
        <w:pStyle w:val="ListParagraph"/>
        <w:numPr>
          <w:ilvl w:val="0"/>
          <w:numId w:val="2"/>
        </w:numPr>
        <w:spacing w:before="40" w:after="40"/>
      </w:pPr>
      <w:r>
        <w:rPr>
          <w:rFonts w:ascii="Arial" w:cs="Arial" w:eastAsia="Arial" w:hAnsi="Arial"/>
          <w:b/>
          <w:bCs/>
          <w:color w:val="1F4E79"/>
          <w:sz w:val="22"/>
          <w:szCs w:val="22"/>
        </w:rPr>
        <w:t xml:space="preserve">ObservabilityContext: </w:t>
      </w:r>
      <w:r>
        <w:rPr>
          <w:rFonts w:ascii="Arial" w:cs="Arial" w:eastAsia="Arial" w:hAnsi="Arial"/>
          <w:sz w:val="22"/>
          <w:szCs w:val="22"/>
        </w:rPr>
        <w:t xml:space="preserve">The central carrier object for a request scope. Holds: trace_id, span_id, request_id, user_id, visitor_token, hostname, pid. Injected as a @RequestScoped CDI bean.</w:t>
      </w:r>
    </w:p>
    <w:p>
      <w:pPr>
        <w:pStyle w:val="ListParagraph"/>
        <w:numPr>
          <w:ilvl w:val="0"/>
          <w:numId w:val="2"/>
        </w:numPr>
        <w:spacing w:before="40" w:after="40"/>
      </w:pPr>
      <w:r>
        <w:rPr>
          <w:rFonts w:ascii="Arial" w:cs="Arial" w:eastAsia="Arial" w:hAnsi="Arial"/>
          <w:b/>
          <w:bCs/>
          <w:color w:val="1F4E79"/>
          <w:sz w:val="22"/>
          <w:szCs w:val="22"/>
        </w:rPr>
        <w:t xml:space="preserve">ObservabilityEvent: </w:t>
      </w:r>
      <w:r>
        <w:rPr>
          <w:rFonts w:ascii="Arial" w:cs="Arial" w:eastAsia="Arial" w:hAnsi="Arial"/>
          <w:sz w:val="22"/>
          <w:szCs w:val="22"/>
        </w:rPr>
        <w:t xml:space="preserve">A sealed interface representing any observable event. Subtypes: TechnicalEvent (errors, warnings, debug information) and BusinessEvent (domain events such as ORDER_COMPLETED with associated business data).</w:t>
      </w:r>
    </w:p>
    <w:p>
      <w:pPr>
        <w:pStyle w:val="ListParagraph"/>
        <w:numPr>
          <w:ilvl w:val="0"/>
          <w:numId w:val="2"/>
        </w:numPr>
        <w:spacing w:before="40" w:after="40"/>
      </w:pPr>
      <w:r>
        <w:rPr>
          <w:rFonts w:ascii="Arial" w:cs="Arial" w:eastAsia="Arial" w:hAnsi="Arial"/>
          <w:b/>
          <w:bCs/>
          <w:color w:val="1F4E79"/>
          <w:sz w:val="22"/>
          <w:szCs w:val="22"/>
        </w:rPr>
        <w:t xml:space="preserve">StructuredLogger: </w:t>
      </w:r>
      <w:r>
        <w:rPr>
          <w:rFonts w:ascii="Arial" w:cs="Arial" w:eastAsia="Arial" w:hAnsi="Arial"/>
          <w:sz w:val="22"/>
          <w:szCs w:val="22"/>
        </w:rPr>
        <w:t xml:space="preserve">The primary API for emitting events. Wraps SLF4J and automatically attaches the current ObservabilityContext to every event. Enforces the 5 Ws contract.</w:t>
      </w:r>
    </w:p>
    <w:p>
      <w:pPr>
        <w:pStyle w:val="ListParagraph"/>
        <w:numPr>
          <w:ilvl w:val="0"/>
          <w:numId w:val="2"/>
        </w:numPr>
        <w:spacing w:before="40" w:after="40"/>
      </w:pPr>
      <w:r>
        <w:rPr>
          <w:rFonts w:ascii="Arial" w:cs="Arial" w:eastAsia="Arial" w:hAnsi="Arial"/>
          <w:b/>
          <w:bCs/>
          <w:color w:val="1F4E79"/>
          <w:sz w:val="22"/>
          <w:szCs w:val="22"/>
        </w:rPr>
        <w:t xml:space="preserve">AuditRecord: </w:t>
      </w:r>
      <w:r>
        <w:rPr>
          <w:rFonts w:ascii="Arial" w:cs="Arial" w:eastAsia="Arial" w:hAnsi="Arial"/>
          <w:sz w:val="22"/>
          <w:szCs w:val="22"/>
        </w:rPr>
        <w:t xml:space="preserve">An immutable record capturing actor, action, target entity, before/after states, and timestamp. Written by the AuditWriter.</w:t>
      </w:r>
    </w:p>
    <w:p>
      <w:pPr>
        <w:pStyle w:val="ListParagraph"/>
        <w:numPr>
          <w:ilvl w:val="0"/>
          <w:numId w:val="2"/>
        </w:numPr>
        <w:spacing w:before="40" w:after="40"/>
      </w:pPr>
      <w:r>
        <w:rPr>
          <w:rFonts w:ascii="Arial" w:cs="Arial" w:eastAsia="Arial" w:hAnsi="Arial"/>
          <w:b/>
          <w:bCs/>
          <w:color w:val="1F4E79"/>
          <w:sz w:val="22"/>
          <w:szCs w:val="22"/>
        </w:rPr>
        <w:t xml:space="preserve">AuditWriter: </w:t>
      </w:r>
      <w:r>
        <w:rPr>
          <w:rFonts w:ascii="Arial" w:cs="Arial" w:eastAsia="Arial" w:hAnsi="Arial"/>
          <w:sz w:val="22"/>
          <w:szCs w:val="22"/>
        </w:rPr>
        <w:t xml:space="preserve">An injectable interface with implementations for RDBMS, MongoDB, and Kafka. Receives AuditRecord instances from @Auditable interceptors.</w:t>
      </w:r>
    </w:p>
    <w:p>
      <w:pPr>
        <w:pStyle w:val="ListParagraph"/>
        <w:numPr>
          <w:ilvl w:val="0"/>
          <w:numId w:val="2"/>
        </w:numPr>
        <w:spacing w:before="40" w:after="40"/>
      </w:pPr>
      <w:r>
        <w:rPr>
          <w:rFonts w:ascii="Arial" w:cs="Arial" w:eastAsia="Arial" w:hAnsi="Arial"/>
          <w:b/>
          <w:bCs/>
          <w:color w:val="1F4E79"/>
          <w:sz w:val="22"/>
          <w:szCs w:val="22"/>
        </w:rPr>
        <w:t xml:space="preserve">TraceContext: </w:t>
      </w:r>
      <w:r>
        <w:rPr>
          <w:rFonts w:ascii="Arial" w:cs="Arial" w:eastAsia="Arial" w:hAnsi="Arial"/>
          <w:sz w:val="22"/>
          <w:szCs w:val="22"/>
        </w:rPr>
        <w:t xml:space="preserve">A value object carrying W3C TraceContext headers for cross-service propagation. Extracted from inbound requests and injected into outbound calls by the library's HTTP client filter.</w:t>
      </w:r>
    </w:p>
    <w:p>
      <w:pPr>
        <w:pStyle w:val="ListParagraph"/>
        <w:numPr>
          <w:ilvl w:val="0"/>
          <w:numId w:val="2"/>
        </w:numPr>
        <w:spacing w:before="40" w:after="40"/>
      </w:pPr>
      <w:r>
        <w:rPr>
          <w:rFonts w:ascii="Arial" w:cs="Arial" w:eastAsia="Arial" w:hAnsi="Arial"/>
          <w:b/>
          <w:bCs/>
          <w:color w:val="1F4E79"/>
          <w:sz w:val="22"/>
          <w:szCs w:val="22"/>
        </w:rPr>
        <w:t xml:space="preserve">HealthContributor: </w:t>
      </w:r>
      <w:r>
        <w:rPr>
          <w:rFonts w:ascii="Arial" w:cs="Arial" w:eastAsia="Arial" w:hAnsi="Arial"/>
          <w:sz w:val="22"/>
          <w:szCs w:val="22"/>
        </w:rPr>
        <w:t xml:space="preserve">A CDI interface that services implement to add custom health checks. Composed by the library's HealthEndpoint into the /q/health response.</w:t>
      </w:r>
    </w:p>
    <w:p>
      <w:pPr>
        <w:pStyle w:val="ListParagraph"/>
        <w:numPr>
          <w:ilvl w:val="0"/>
          <w:numId w:val="2"/>
        </w:numPr>
        <w:spacing w:before="40" w:after="40"/>
      </w:pPr>
      <w:r>
        <w:rPr>
          <w:rFonts w:ascii="Arial" w:cs="Arial" w:eastAsia="Arial" w:hAnsi="Arial"/>
          <w:b/>
          <w:bCs/>
          <w:color w:val="1F4E79"/>
          <w:sz w:val="22"/>
          <w:szCs w:val="22"/>
        </w:rPr>
        <w:t xml:space="preserve">ExceptionReporter: </w:t>
      </w:r>
      <w:r>
        <w:rPr>
          <w:rFonts w:ascii="Arial" w:cs="Arial" w:eastAsia="Arial" w:hAnsi="Arial"/>
          <w:sz w:val="22"/>
          <w:szCs w:val="22"/>
        </w:rPr>
        <w:t xml:space="preserve">An injectable service that receives exceptions from the global CDI exception handler, enriches them with ObservabilityContext, de-duplicates by fingerprint, and forwards to the configured tracking backend.</w:t>
      </w:r>
    </w:p>
    <w:p>
      <w:pPr>
        <w:spacing w:before="120" w:after="0"/>
      </w:pPr>
      <w:r>
        <w:t xml:space="preserve"/>
      </w:r>
    </w:p>
    <w:p>
      <w:r>
        <w:br w:type="pag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7. Simple Examples of Use</w:t>
      </w:r>
    </w:p>
    <w:p>
      <w:pPr>
        <w:spacing w:before="80" w:after="0"/>
      </w:pPr>
      <w:r>
        <w:t xml:space="preserve"/>
      </w:r>
    </w:p>
    <w:p>
      <w:pPr>
        <w:spacing w:before="60" w:after="80"/>
      </w:pPr>
      <w:r>
        <w:rPr>
          <w:rFonts w:ascii="Arial" w:cs="Arial" w:eastAsia="Arial" w:hAnsi="Arial"/>
          <w:sz w:val="22"/>
          <w:szCs w:val="22"/>
        </w:rPr>
        <w:t xml:space="preserve">The following examples are conceptual pseudo-code intended to illustrate the intended developer experience. They are NOT final API specifications.</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7.1 Emitting a Business Event with Full 5 Ws Context</w:t>
      </w:r>
    </w:p>
    <w:p>
      <w:pPr>
        <w:spacing w:before="60" w:after="80"/>
      </w:pPr>
      <w:r>
        <w:rPr>
          <w:rFonts w:ascii="Arial" w:cs="Arial" w:eastAsia="Arial" w:hAnsi="Arial"/>
          <w:sz w:val="22"/>
          <w:szCs w:val="22"/>
        </w:rPr>
        <w:t xml:space="preserve">When a developer logs a business event, the library automatically enriches it with the current ObservabilityContext (Who + Where + When). The developer only provides What: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2E75B6" w:val="clear"/>
          </w:tcPr>
          <w:p>
            <w:r>
              <w:rPr>
                <w:rFonts w:ascii="Arial" w:cs="Arial" w:eastAsia="Arial" w:hAnsi="Arial"/>
                <w:color w:val="FFFFFF"/>
                <w:sz w:val="22"/>
                <w:szCs w:val="22"/>
              </w:rPr>
              <w:t xml:space="preserve">ℹ</w:t>
            </w:r>
          </w:p>
        </w:tc>
        <w:tc>
          <w:tcPr>
            <w:tcW w:type="dxa" w:w="900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Developer writes this</w:t>
            </w:r>
          </w:p>
          <w:p>
            <w:pPr>
              <w:spacing w:before="40"/>
            </w:pPr>
            <w:r>
              <w:rPr>
                <w:rFonts w:ascii="Arial" w:cs="Arial" w:eastAsia="Arial" w:hAnsi="Arial"/>
                <w:sz w:val="20"/>
                <w:szCs w:val="20"/>
              </w:rPr>
              <w:t xml:space="preserve">structuredLogger.businessEvent("ORDER_COMPLETED", Map.of("order_id", order.getId(), "order_value", order.getTotal(), "currency", "BRL"));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2E75B6" w:val="clear"/>
          </w:tcPr>
          <w:p>
            <w:r>
              <w:rPr>
                <w:rFonts w:ascii="Arial" w:cs="Arial" w:eastAsia="Arial" w:hAnsi="Arial"/>
                <w:color w:val="FFFFFF"/>
                <w:sz w:val="22"/>
                <w:szCs w:val="22"/>
              </w:rPr>
              <w:t xml:space="preserve">ℹ</w:t>
            </w:r>
          </w:p>
        </w:tc>
        <w:tc>
          <w:tcPr>
            <w:tcW w:type="dxa" w:w="900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Library emits this JSON</w:t>
            </w:r>
          </w:p>
          <w:p>
            <w:pPr>
              <w:spacing w:before="40"/>
            </w:pPr>
            <w:r>
              <w:rPr>
                <w:rFonts w:ascii="Arial" w:cs="Arial" w:eastAsia="Arial" w:hAnsi="Arial"/>
                <w:sz w:val="20"/>
                <w:szCs w:val="20"/>
              </w:rPr>
              <w:t xml:space="preserve">{ "@timestamp": "2026-03-09T14:32:01.123Z", "event_type": "ORDER_COMPLETED", "order_id": "ORD-9912", "order_value": 349.90, "currency": "BRL", "user_id": "USR-445", "request_id": "a3f9...", "trace_id": "7d2c...", "hostname": "app-node-03", "severity": "INFO" }</w:t>
            </w:r>
          </w:p>
        </w:tc>
      </w:tr>
    </w:tbl>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7.2 Auditing a Sensitive User Action</w:t>
      </w:r>
    </w:p>
    <w:p>
      <w:pPr>
        <w:spacing w:before="60" w:after="80"/>
      </w:pPr>
      <w:r>
        <w:rPr>
          <w:rFonts w:ascii="Arial" w:cs="Arial" w:eastAsia="Arial" w:hAnsi="Arial"/>
          <w:sz w:val="22"/>
          <w:szCs w:val="22"/>
        </w:rPr>
        <w:t xml:space="preserve">An @Auditable annotation triggers automatic audit record creation without polluting the business method: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2E75B6" w:val="clear"/>
          </w:tcPr>
          <w:p>
            <w:r>
              <w:rPr>
                <w:rFonts w:ascii="Arial" w:cs="Arial" w:eastAsia="Arial" w:hAnsi="Arial"/>
                <w:color w:val="FFFFFF"/>
                <w:sz w:val="22"/>
                <w:szCs w:val="22"/>
              </w:rPr>
              <w:t xml:space="preserve">ℹ</w:t>
            </w:r>
          </w:p>
        </w:tc>
        <w:tc>
          <w:tcPr>
            <w:tcW w:type="dxa" w:w="900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Developer writes this</w:t>
            </w:r>
          </w:p>
          <w:p>
            <w:pPr>
              <w:spacing w:before="40"/>
            </w:pPr>
            <w:r>
              <w:rPr>
                <w:rFonts w:ascii="Arial" w:cs="Arial" w:eastAsia="Arial" w:hAnsi="Arial"/>
                <w:sz w:val="20"/>
                <w:szCs w:val="20"/>
              </w:rPr>
              <w:t xml:space="preserve">@Auditable(action = "UPDATE", entity = "UserProfile")  public void updateEmail(Long userId, String newEmail) {  // pure business logic only  }</w:t>
            </w:r>
          </w:p>
        </w:tc>
      </w:tr>
    </w:tbl>
    <w:p>
      <w:pPr>
        <w:spacing w:before="60" w:after="0"/>
      </w:pPr>
      <w:r>
        <w:t xml:space="preserve"/>
      </w:r>
    </w:p>
    <w:p>
      <w:pPr>
        <w:spacing w:before="60" w:after="80"/>
      </w:pPr>
      <w:r>
        <w:rPr>
          <w:rFonts w:ascii="Arial" w:cs="Arial" w:eastAsia="Arial" w:hAnsi="Arial"/>
          <w:sz w:val="22"/>
          <w:szCs w:val="22"/>
        </w:rPr>
        <w:t xml:space="preserve">The library intercepts the call, captures the before/after state of the target entity, and writes an immutable AuditRecord to the configured AuditWriter — without the developer writing a single line of audit code.</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7.3 Correlating a Distributed Request</w:t>
      </w:r>
    </w:p>
    <w:p>
      <w:pPr>
        <w:spacing w:before="60" w:after="80"/>
      </w:pPr>
      <w:r>
        <w:rPr>
          <w:rFonts w:ascii="Arial" w:cs="Arial" w:eastAsia="Arial" w:hAnsi="Arial"/>
          <w:sz w:val="22"/>
          <w:szCs w:val="22"/>
        </w:rPr>
        <w:t xml:space="preserve">A user performs an action that triggers three downstream service calls (Order Service → Payment Service → Notification Service). The Trace ID generated at the entry point is automatically propagated via HTTP headers: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User request arrives at Order Service → Library generates trace_id: "7d2c..." and request_id: "a3f9..."</w:t>
      </w:r>
    </w:p>
    <w:p>
      <w:pPr>
        <w:pStyle w:val="ListParagraph"/>
        <w:numPr>
          <w:ilvl w:val="0"/>
          <w:numId w:val="2"/>
        </w:numPr>
        <w:spacing w:before="40" w:after="40"/>
      </w:pPr>
      <w:r>
        <w:rPr>
          <w:rFonts w:ascii="Arial" w:cs="Arial" w:eastAsia="Arial" w:hAnsi="Arial"/>
          <w:sz w:val="22"/>
          <w:szCs w:val="22"/>
        </w:rPr>
        <w:t xml:space="preserve">Order Service calls Payment Service → Library injects traceparent header with trace_id: "7d2c..." and a new span_id</w:t>
      </w:r>
    </w:p>
    <w:p>
      <w:pPr>
        <w:pStyle w:val="ListParagraph"/>
        <w:numPr>
          <w:ilvl w:val="0"/>
          <w:numId w:val="2"/>
        </w:numPr>
        <w:spacing w:before="40" w:after="40"/>
      </w:pPr>
      <w:r>
        <w:rPr>
          <w:rFonts w:ascii="Arial" w:cs="Arial" w:eastAsia="Arial" w:hAnsi="Arial"/>
          <w:sz w:val="22"/>
          <w:szCs w:val="22"/>
        </w:rPr>
        <w:t xml:space="preserve">Payment Service calls Notification Service → Library propagates the same trace_id, new span_id</w:t>
      </w:r>
    </w:p>
    <w:p>
      <w:pPr>
        <w:pStyle w:val="ListParagraph"/>
        <w:numPr>
          <w:ilvl w:val="0"/>
          <w:numId w:val="2"/>
        </w:numPr>
        <w:spacing w:before="40" w:after="40"/>
      </w:pPr>
      <w:r>
        <w:rPr>
          <w:rFonts w:ascii="Arial" w:cs="Arial" w:eastAsia="Arial" w:hAnsi="Arial"/>
          <w:sz w:val="22"/>
          <w:szCs w:val="22"/>
        </w:rPr>
        <w:t xml:space="preserve">Engineer queries log aggregator for trace_id = "7d2c..." → sees all three services' log lines in chronological order</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7.4 Health Check Response</w:t>
      </w:r>
    </w:p>
    <w:p>
      <w:pPr>
        <w:spacing w:before="60" w:after="80"/>
      </w:pPr>
      <w:r>
        <w:rPr>
          <w:rFonts w:ascii="Arial" w:cs="Arial" w:eastAsia="Arial" w:hAnsi="Arial"/>
          <w:sz w:val="22"/>
          <w:szCs w:val="22"/>
        </w:rPr>
        <w:t xml:space="preserve">A Kubernetes readiness probe calls /q/health/ready. The library evaluates all registered HealthContributors and returns a structured response: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9000"/>
      </w:tblGrid>
      <w:tr>
        <w:tc>
          <w:tcPr>
            <w:tcW w:type="dxa" w:w="360"/>
            <w:tcBorders>
              <w:top w:val="none" w:color="FFFFFF" w:sz="0"/>
              <w:left w:val="none" w:color="FFFFFF" w:sz="0"/>
              <w:bottom w:val="none" w:color="FFFFFF" w:sz="0"/>
              <w:right w:val="none" w:color="FFFFFF" w:sz="0"/>
            </w:tcBorders>
            <w:shd w:fill="2E75B6" w:val="clear"/>
          </w:tcPr>
          <w:p>
            <w:r>
              <w:rPr>
                <w:rFonts w:ascii="Arial" w:cs="Arial" w:eastAsia="Arial" w:hAnsi="Arial"/>
                <w:color w:val="FFFFFF"/>
                <w:sz w:val="22"/>
                <w:szCs w:val="22"/>
              </w:rPr>
              <w:t xml:space="preserve">ℹ</w:t>
            </w:r>
          </w:p>
        </w:tc>
        <w:tc>
          <w:tcPr>
            <w:tcW w:type="dxa" w:w="900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Structured health response</w:t>
            </w:r>
          </w:p>
          <w:p>
            <w:pPr>
              <w:spacing w:before="40"/>
            </w:pPr>
            <w:r>
              <w:rPr>
                <w:rFonts w:ascii="Arial" w:cs="Arial" w:eastAsia="Arial" w:hAnsi="Arial"/>
                <w:sz w:val="20"/>
                <w:szCs w:val="20"/>
              </w:rPr>
              <w:t xml:space="preserve">{ "status": "DOWN", "checks": [ { "name": "database", "status": "UP" }, { "name": "payment-gateway", "status": "DOWN", "data": { "error": "Connection timeout after 5000ms", "url": "https://pay.example.com/v1" } } ] }</w:t>
            </w:r>
          </w:p>
        </w:tc>
      </w:tr>
    </w:tbl>
    <w:p>
      <w:pPr>
        <w:spacing w:before="60" w:after="0"/>
      </w:pPr>
      <w:r>
        <w:t xml:space="preserve"/>
      </w:r>
    </w:p>
    <w:p>
      <w:pPr>
        <w:spacing w:before="60" w:after="80"/>
      </w:pPr>
      <w:r>
        <w:rPr>
          <w:rFonts w:ascii="Arial" w:cs="Arial" w:eastAsia="Arial" w:hAnsi="Arial"/>
          <w:sz w:val="22"/>
          <w:szCs w:val="22"/>
        </w:rPr>
        <w:t xml:space="preserve">The Kubernetes load balancer sees the DOWN status and stops routing traffic to this instance while the underlying issue is resolved — without requiring a full restart.</w:t>
      </w:r>
    </w:p>
    <w:p>
      <w:pPr>
        <w:spacing w:before="120" w:after="0"/>
      </w:pPr>
      <w:r>
        <w:t xml:space="preserve"/>
      </w:r>
    </w:p>
    <w:p>
      <w:r>
        <w:br w:type="pag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8. Vision for the Future</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8.1 Expected Evolution</w:t>
      </w:r>
    </w:p>
    <w:p>
      <w:pPr>
        <w:pStyle w:val="ListParagraph"/>
        <w:numPr>
          <w:ilvl w:val="0"/>
          <w:numId w:val="2"/>
        </w:numPr>
        <w:spacing w:before="40" w:after="40"/>
      </w:pPr>
      <w:r>
        <w:rPr>
          <w:rFonts w:ascii="Arial" w:cs="Arial" w:eastAsia="Arial" w:hAnsi="Arial"/>
          <w:b/>
          <w:bCs/>
          <w:color w:val="1F4E79"/>
          <w:sz w:val="22"/>
          <w:szCs w:val="22"/>
        </w:rPr>
        <w:t xml:space="preserve">GraalVM Native Image support: </w:t>
      </w:r>
      <w:r>
        <w:rPr>
          <w:rFonts w:ascii="Arial" w:cs="Arial" w:eastAsia="Arial" w:hAnsi="Arial"/>
          <w:sz w:val="22"/>
          <w:szCs w:val="22"/>
        </w:rPr>
        <w:t xml:space="preserve">Quarkus's native compilation mode requires careful reflection configuration. All library components must be compatible with native builds to support serverless deployments.</w:t>
      </w:r>
    </w:p>
    <w:p>
      <w:pPr>
        <w:pStyle w:val="ListParagraph"/>
        <w:numPr>
          <w:ilvl w:val="0"/>
          <w:numId w:val="2"/>
        </w:numPr>
        <w:spacing w:before="40" w:after="40"/>
      </w:pPr>
      <w:r>
        <w:rPr>
          <w:rFonts w:ascii="Arial" w:cs="Arial" w:eastAsia="Arial" w:hAnsi="Arial"/>
          <w:b/>
          <w:bCs/>
          <w:color w:val="1F4E79"/>
          <w:sz w:val="22"/>
          <w:szCs w:val="22"/>
        </w:rPr>
        <w:t xml:space="preserve">Reactive / non-blocking context propagation: </w:t>
      </w:r>
      <w:r>
        <w:rPr>
          <w:rFonts w:ascii="Arial" w:cs="Arial" w:eastAsia="Arial" w:hAnsi="Arial"/>
          <w:sz w:val="22"/>
          <w:szCs w:val="22"/>
        </w:rPr>
        <w:t xml:space="preserve">Quarkus Mutiny and reactive REST clients use non-thread-local execution models. Context propagation in reactive pipelines (Mutiny Context, SmallRye Context Propagation) must be explicitly supported.</w:t>
      </w:r>
    </w:p>
    <w:p>
      <w:pPr>
        <w:pStyle w:val="ListParagraph"/>
        <w:numPr>
          <w:ilvl w:val="0"/>
          <w:numId w:val="2"/>
        </w:numPr>
        <w:spacing w:before="40" w:after="40"/>
      </w:pPr>
      <w:r>
        <w:rPr>
          <w:rFonts w:ascii="Arial" w:cs="Arial" w:eastAsia="Arial" w:hAnsi="Arial"/>
          <w:b/>
          <w:bCs/>
          <w:color w:val="1F4E79"/>
          <w:sz w:val="22"/>
          <w:szCs w:val="22"/>
        </w:rPr>
        <w:t xml:space="preserve">OpenTelemetry Logs signal: </w:t>
      </w:r>
      <w:r>
        <w:rPr>
          <w:rFonts w:ascii="Arial" w:cs="Arial" w:eastAsia="Arial" w:hAnsi="Arial"/>
          <w:sz w:val="22"/>
          <w:szCs w:val="22"/>
        </w:rPr>
        <w:t xml:space="preserve">OpenTelemetry's Logs data model is stabilizing. A future version of the library should emit logs through the OTLP protocol alongside traces and metrics, unifying the three signals in a single pipeline.</w:t>
      </w:r>
    </w:p>
    <w:p>
      <w:pPr>
        <w:pStyle w:val="ListParagraph"/>
        <w:numPr>
          <w:ilvl w:val="0"/>
          <w:numId w:val="2"/>
        </w:numPr>
        <w:spacing w:before="40" w:after="40"/>
      </w:pPr>
      <w:r>
        <w:rPr>
          <w:rFonts w:ascii="Arial" w:cs="Arial" w:eastAsia="Arial" w:hAnsi="Arial"/>
          <w:b/>
          <w:bCs/>
          <w:color w:val="1F4E79"/>
          <w:sz w:val="22"/>
          <w:szCs w:val="22"/>
        </w:rPr>
        <w:t xml:space="preserve">Adaptive sampling: </w:t>
      </w:r>
      <w:r>
        <w:rPr>
          <w:rFonts w:ascii="Arial" w:cs="Arial" w:eastAsia="Arial" w:hAnsi="Arial"/>
          <w:sz w:val="22"/>
          <w:szCs w:val="22"/>
        </w:rPr>
        <w:t xml:space="preserve">Tail-based sampling that preferentially retains traces containing errors or latency outliers, reducing storage costs while preserving diagnostic value.</w:t>
      </w:r>
    </w:p>
    <w:p>
      <w:pPr>
        <w:pStyle w:val="ListParagraph"/>
        <w:numPr>
          <w:ilvl w:val="0"/>
          <w:numId w:val="2"/>
        </w:numPr>
        <w:spacing w:before="40" w:after="40"/>
      </w:pPr>
      <w:r>
        <w:rPr>
          <w:rFonts w:ascii="Arial" w:cs="Arial" w:eastAsia="Arial" w:hAnsi="Arial"/>
          <w:b/>
          <w:bCs/>
          <w:color w:val="1F4E79"/>
          <w:sz w:val="22"/>
          <w:szCs w:val="22"/>
        </w:rPr>
        <w:t xml:space="preserve">ML anomaly baseline: </w:t>
      </w:r>
      <w:r>
        <w:rPr>
          <w:rFonts w:ascii="Arial" w:cs="Arial" w:eastAsia="Arial" w:hAnsi="Arial"/>
          <w:sz w:val="22"/>
          <w:szCs w:val="22"/>
        </w:rPr>
        <w:t xml:space="preserve">A companion module that builds statistical baselines for business event rates and emits alerts when deviations exceed configurable thresholds.</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8.2 Possible Extensions and Integrations</w:t>
      </w:r>
    </w:p>
    <w:p>
      <w:pPr>
        <w:pStyle w:val="ListParagraph"/>
        <w:numPr>
          <w:ilvl w:val="0"/>
          <w:numId w:val="2"/>
        </w:numPr>
        <w:spacing w:before="40" w:after="40"/>
      </w:pPr>
      <w:r>
        <w:rPr>
          <w:rFonts w:ascii="Arial" w:cs="Arial" w:eastAsia="Arial" w:hAnsi="Arial"/>
          <w:b/>
          <w:bCs/>
          <w:color w:val="1F4E79"/>
          <w:sz w:val="22"/>
          <w:szCs w:val="22"/>
        </w:rPr>
        <w:t xml:space="preserve">Kafka / messaging context propagation: </w:t>
      </w:r>
      <w:r>
        <w:rPr>
          <w:rFonts w:ascii="Arial" w:cs="Arial" w:eastAsia="Arial" w:hAnsi="Arial"/>
          <w:sz w:val="22"/>
          <w:szCs w:val="22"/>
        </w:rPr>
        <w:t xml:space="preserve">Extend context propagation to message headers for Kafka consumers and producers, enabling end-to-end tracing across event-driven architectures.</w:t>
      </w:r>
    </w:p>
    <w:p>
      <w:pPr>
        <w:pStyle w:val="ListParagraph"/>
        <w:numPr>
          <w:ilvl w:val="0"/>
          <w:numId w:val="2"/>
        </w:numPr>
        <w:spacing w:before="40" w:after="40"/>
      </w:pPr>
      <w:r>
        <w:rPr>
          <w:rFonts w:ascii="Arial" w:cs="Arial" w:eastAsia="Arial" w:hAnsi="Arial"/>
          <w:b/>
          <w:bCs/>
          <w:color w:val="1F4E79"/>
          <w:sz w:val="22"/>
          <w:szCs w:val="22"/>
        </w:rPr>
        <w:t xml:space="preserve">Security event specialization: </w:t>
      </w:r>
      <w:r>
        <w:rPr>
          <w:rFonts w:ascii="Arial" w:cs="Arial" w:eastAsia="Arial" w:hAnsi="Arial"/>
          <w:sz w:val="22"/>
          <w:szCs w:val="22"/>
        </w:rPr>
        <w:t xml:space="preserve">A dedicated SecurityEventLogger for authentication failures, authorization denials, and anomalous access patterns — feeding a SIEM system.</w:t>
      </w:r>
    </w:p>
    <w:p>
      <w:pPr>
        <w:pStyle w:val="ListParagraph"/>
        <w:numPr>
          <w:ilvl w:val="0"/>
          <w:numId w:val="2"/>
        </w:numPr>
        <w:spacing w:before="40" w:after="40"/>
      </w:pPr>
      <w:r>
        <w:rPr>
          <w:rFonts w:ascii="Arial" w:cs="Arial" w:eastAsia="Arial" w:hAnsi="Arial"/>
          <w:b/>
          <w:bCs/>
          <w:color w:val="1F4E79"/>
          <w:sz w:val="22"/>
          <w:szCs w:val="22"/>
        </w:rPr>
        <w:t xml:space="preserve">Compliance report generation: </w:t>
      </w:r>
      <w:r>
        <w:rPr>
          <w:rFonts w:ascii="Arial" w:cs="Arial" w:eastAsia="Arial" w:hAnsi="Arial"/>
          <w:sz w:val="22"/>
          <w:szCs w:val="22"/>
        </w:rPr>
        <w:t xml:space="preserve">A scheduled job that generates audit log summaries in formats required by specific regulatory frameworks (LGPD data access reports, SOC 2 change log exports).</w:t>
      </w:r>
    </w:p>
    <w:p>
      <w:pPr>
        <w:pStyle w:val="ListParagraph"/>
        <w:numPr>
          <w:ilvl w:val="0"/>
          <w:numId w:val="2"/>
        </w:numPr>
        <w:spacing w:before="40" w:after="40"/>
      </w:pPr>
      <w:r>
        <w:rPr>
          <w:rFonts w:ascii="Arial" w:cs="Arial" w:eastAsia="Arial" w:hAnsi="Arial"/>
          <w:b/>
          <w:bCs/>
          <w:color w:val="1F4E79"/>
          <w:sz w:val="22"/>
          <w:szCs w:val="22"/>
        </w:rPr>
        <w:t xml:space="preserve">Multi-language bridge: </w:t>
      </w:r>
      <w:r>
        <w:rPr>
          <w:rFonts w:ascii="Arial" w:cs="Arial" w:eastAsia="Arial" w:hAnsi="Arial"/>
          <w:sz w:val="22"/>
          <w:szCs w:val="22"/>
        </w:rPr>
        <w:t xml:space="preserve">An HTTP-based sidecar that exposes the context propagation API to non-Java services (Node.js, Python, Go) in polyglot environments.</w:t>
      </w:r>
    </w:p>
    <w:p>
      <w:pPr>
        <w:spacing w:before="80" w:after="0"/>
      </w:pPr>
      <w:r>
        <w:t xml:space="preserve"/>
      </w:r>
    </w:p>
    <w:p>
      <w:pPr>
        <w:pStyle w:val="Heading2"/>
        <w:pBdr>
          <w:bottom w:val="single" w:color="2E75B6" w:sz="3"/>
        </w:pBdr>
        <w:spacing w:before="280" w:after="80"/>
      </w:pPr>
      <w:r>
        <w:rPr>
          <w:rFonts w:ascii="Arial" w:cs="Arial" w:eastAsia="Arial" w:hAnsi="Arial"/>
          <w:b/>
          <w:bCs/>
          <w:color w:val="1F4E79"/>
          <w:sz w:val="26"/>
          <w:szCs w:val="26"/>
        </w:rPr>
        <w:t xml:space="preserve">8.3 Initial Roadmap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 Version</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1</w:t>
            </w:r>
          </w:p>
          <w:p>
            <w:r>
              <w:rPr>
                <w:rFonts w:ascii="Arial" w:cs="Arial" w:eastAsia="Arial" w:hAnsi="Arial"/>
                <w:color w:val="C55A11"/>
                <w:sz w:val="18"/>
                <w:szCs w:val="18"/>
              </w:rPr>
              <w:t xml:space="preserve">v0.1 — Foundation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ObservabilityContext CDI bean + request-scoped lifecycle</w:t>
            </w:r>
          </w:p>
          <w:p>
            <w:pPr>
              <w:pStyle w:val="ListParagraph"/>
              <w:numPr>
                <w:ilvl w:val="0"/>
                <w:numId w:val="2"/>
              </w:numPr>
            </w:pPr>
            <w:r>
              <w:rPr>
                <w:rFonts w:ascii="Arial" w:cs="Arial" w:eastAsia="Arial" w:hAnsi="Arial"/>
                <w:sz w:val="20"/>
                <w:szCs w:val="20"/>
              </w:rPr>
              <w:t xml:space="preserve">StructuredLogger with JSON formatter and 5 Ws enforcement</w:t>
            </w:r>
          </w:p>
          <w:p>
            <w:pPr>
              <w:pStyle w:val="ListParagraph"/>
              <w:numPr>
                <w:ilvl w:val="0"/>
                <w:numId w:val="2"/>
              </w:numPr>
            </w:pPr>
            <w:r>
              <w:rPr>
                <w:rFonts w:ascii="Arial" w:cs="Arial" w:eastAsia="Arial" w:hAnsi="Arial"/>
                <w:sz w:val="20"/>
                <w:szCs w:val="20"/>
              </w:rPr>
              <w:t xml:space="preserve">JAX-RS filter for Request ID injection</w:t>
            </w:r>
          </w:p>
          <w:p>
            <w:pPr>
              <w:pStyle w:val="ListParagraph"/>
              <w:numPr>
                <w:ilvl w:val="0"/>
                <w:numId w:val="2"/>
              </w:numPr>
            </w:pPr>
            <w:r>
              <w:rPr>
                <w:rFonts w:ascii="Arial" w:cs="Arial" w:eastAsia="Arial" w:hAnsi="Arial"/>
                <w:sz w:val="20"/>
                <w:szCs w:val="20"/>
              </w:rPr>
              <w:t xml:space="preserve">Basic Health Check API (/q/health/live, /q/health/ready)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2</w:t>
            </w:r>
          </w:p>
          <w:p>
            <w:r>
              <w:rPr>
                <w:rFonts w:ascii="Arial" w:cs="Arial" w:eastAsia="Arial" w:hAnsi="Arial"/>
                <w:color w:val="C55A11"/>
                <w:sz w:val="18"/>
                <w:szCs w:val="18"/>
              </w:rPr>
              <w:t xml:space="preserve">v0.2 — Tracing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OpenTelemetry SDK integration (traces + spans)</w:t>
            </w:r>
          </w:p>
          <w:p>
            <w:pPr>
              <w:pStyle w:val="ListParagraph"/>
              <w:numPr>
                <w:ilvl w:val="0"/>
                <w:numId w:val="2"/>
              </w:numPr>
            </w:pPr>
            <w:r>
              <w:rPr>
                <w:rFonts w:ascii="Arial" w:cs="Arial" w:eastAsia="Arial" w:hAnsi="Arial"/>
                <w:sz w:val="20"/>
                <w:szCs w:val="20"/>
              </w:rPr>
              <w:t xml:space="preserve">W3C TraceContext propagation in HTTP client and server</w:t>
            </w:r>
          </w:p>
          <w:p>
            <w:pPr>
              <w:pStyle w:val="ListParagraph"/>
              <w:numPr>
                <w:ilvl w:val="0"/>
                <w:numId w:val="2"/>
              </w:numPr>
            </w:pPr>
            <w:r>
              <w:rPr>
                <w:rFonts w:ascii="Arial" w:cs="Arial" w:eastAsia="Arial" w:hAnsi="Arial"/>
                <w:sz w:val="20"/>
                <w:szCs w:val="20"/>
              </w:rPr>
              <w:t xml:space="preserve">Trace ID injected into all StructuredLogger events</w:t>
            </w:r>
          </w:p>
          <w:p>
            <w:pPr>
              <w:pStyle w:val="ListParagraph"/>
              <w:numPr>
                <w:ilvl w:val="0"/>
                <w:numId w:val="2"/>
              </w:numPr>
            </w:pPr>
            <w:r>
              <w:rPr>
                <w:rFonts w:ascii="Arial" w:cs="Arial" w:eastAsia="Arial" w:hAnsi="Arial"/>
                <w:sz w:val="20"/>
                <w:szCs w:val="20"/>
              </w:rPr>
              <w:t xml:space="preserve">Jaeger and Zipkin exporters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3</w:t>
            </w:r>
          </w:p>
          <w:p>
            <w:r>
              <w:rPr>
                <w:rFonts w:ascii="Arial" w:cs="Arial" w:eastAsia="Arial" w:hAnsi="Arial"/>
                <w:color w:val="C55A11"/>
                <w:sz w:val="18"/>
                <w:szCs w:val="18"/>
              </w:rPr>
              <w:t xml:space="preserve">v0.3 — Audit &amp; Exceptions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@Auditable CDI interceptor</w:t>
            </w:r>
          </w:p>
          <w:p>
            <w:pPr>
              <w:pStyle w:val="ListParagraph"/>
              <w:numPr>
                <w:ilvl w:val="0"/>
                <w:numId w:val="2"/>
              </w:numPr>
            </w:pPr>
            <w:r>
              <w:rPr>
                <w:rFonts w:ascii="Arial" w:cs="Arial" w:eastAsia="Arial" w:hAnsi="Arial"/>
                <w:sz w:val="20"/>
                <w:szCs w:val="20"/>
              </w:rPr>
              <w:t xml:space="preserve">AuditWriter implementations: RDBMS (Panache), Kafka</w:t>
            </w:r>
          </w:p>
          <w:p>
            <w:pPr>
              <w:pStyle w:val="ListParagraph"/>
              <w:numPr>
                <w:ilvl w:val="0"/>
                <w:numId w:val="2"/>
              </w:numPr>
            </w:pPr>
            <w:r>
              <w:rPr>
                <w:rFonts w:ascii="Arial" w:cs="Arial" w:eastAsia="Arial" w:hAnsi="Arial"/>
                <w:sz w:val="20"/>
                <w:szCs w:val="20"/>
              </w:rPr>
              <w:t xml:space="preserve">ExceptionReporter with de-duplication and webhook notification</w:t>
            </w:r>
          </w:p>
          <w:p>
            <w:pPr>
              <w:pStyle w:val="ListParagraph"/>
              <w:numPr>
                <w:ilvl w:val="0"/>
                <w:numId w:val="2"/>
              </w:numPr>
            </w:pPr>
            <w:r>
              <w:rPr>
                <w:rFonts w:ascii="Arial" w:cs="Arial" w:eastAsia="Arial" w:hAnsi="Arial"/>
                <w:sz w:val="20"/>
                <w:szCs w:val="20"/>
              </w:rPr>
              <w:t xml:space="preserve">Full stack trace structured capture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4</w:t>
            </w:r>
          </w:p>
          <w:p>
            <w:r>
              <w:rPr>
                <w:rFonts w:ascii="Arial" w:cs="Arial" w:eastAsia="Arial" w:hAnsi="Arial"/>
                <w:color w:val="C55A11"/>
                <w:sz w:val="18"/>
                <w:szCs w:val="18"/>
              </w:rPr>
              <w:t xml:space="preserve">v0.4 — Metrics &amp; Business Events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Micrometer / Prometheus metrics integration</w:t>
            </w:r>
          </w:p>
          <w:p>
            <w:pPr>
              <w:pStyle w:val="ListParagraph"/>
              <w:numPr>
                <w:ilvl w:val="0"/>
                <w:numId w:val="2"/>
              </w:numPr>
            </w:pPr>
            <w:r>
              <w:rPr>
                <w:rFonts w:ascii="Arial" w:cs="Arial" w:eastAsia="Arial" w:hAnsi="Arial"/>
                <w:sz w:val="20"/>
                <w:szCs w:val="20"/>
              </w:rPr>
              <w:t xml:space="preserve">BusinessEvent type and Kibana dashboard templates</w:t>
            </w:r>
          </w:p>
          <w:p>
            <w:pPr>
              <w:pStyle w:val="ListParagraph"/>
              <w:numPr>
                <w:ilvl w:val="0"/>
                <w:numId w:val="2"/>
              </w:numPr>
            </w:pPr>
            <w:r>
              <w:rPr>
                <w:rFonts w:ascii="Arial" w:cs="Arial" w:eastAsia="Arial" w:hAnsi="Arial"/>
                <w:sz w:val="20"/>
                <w:szCs w:val="20"/>
              </w:rPr>
              <w:t xml:space="preserve">Push and pull metric export models</w:t>
            </w:r>
          </w:p>
          <w:p>
            <w:pPr>
              <w:pStyle w:val="ListParagraph"/>
              <w:numPr>
                <w:ilvl w:val="0"/>
                <w:numId w:val="2"/>
              </w:numPr>
            </w:pPr>
            <w:r>
              <w:rPr>
                <w:rFonts w:ascii="Arial" w:cs="Arial" w:eastAsia="Arial" w:hAnsi="Arial"/>
                <w:sz w:val="20"/>
                <w:szCs w:val="20"/>
              </w:rPr>
              <w:t xml:space="preserve">Performance latency histograms by route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5</w:t>
            </w:r>
          </w:p>
          <w:p>
            <w:r>
              <w:rPr>
                <w:rFonts w:ascii="Arial" w:cs="Arial" w:eastAsia="Arial" w:hAnsi="Arial"/>
                <w:color w:val="C55A11"/>
                <w:sz w:val="18"/>
                <w:szCs w:val="18"/>
              </w:rPr>
              <w:t xml:space="preserve">v1.0 — Production Ready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GraalVM Native Image compatibility</w:t>
            </w:r>
          </w:p>
          <w:p>
            <w:pPr>
              <w:pStyle w:val="ListParagraph"/>
              <w:numPr>
                <w:ilvl w:val="0"/>
                <w:numId w:val="2"/>
              </w:numPr>
            </w:pPr>
            <w:r>
              <w:rPr>
                <w:rFonts w:ascii="Arial" w:cs="Arial" w:eastAsia="Arial" w:hAnsi="Arial"/>
                <w:sz w:val="20"/>
                <w:szCs w:val="20"/>
              </w:rPr>
              <w:t xml:space="preserve">Reactive (Mutiny) context propagation</w:t>
            </w:r>
          </w:p>
          <w:p>
            <w:pPr>
              <w:pStyle w:val="ListParagraph"/>
              <w:numPr>
                <w:ilvl w:val="0"/>
                <w:numId w:val="2"/>
              </w:numPr>
            </w:pPr>
            <w:r>
              <w:rPr>
                <w:rFonts w:ascii="Arial" w:cs="Arial" w:eastAsia="Arial" w:hAnsi="Arial"/>
                <w:sz w:val="20"/>
                <w:szCs w:val="20"/>
              </w:rPr>
              <w:t xml:space="preserve">Security hardening: PII field masking in logs</w:t>
            </w:r>
          </w:p>
          <w:p>
            <w:pPr>
              <w:pStyle w:val="ListParagraph"/>
              <w:numPr>
                <w:ilvl w:val="0"/>
                <w:numId w:val="2"/>
              </w:numPr>
            </w:pPr>
            <w:r>
              <w:rPr>
                <w:rFonts w:ascii="Arial" w:cs="Arial" w:eastAsia="Arial" w:hAnsi="Arial"/>
                <w:sz w:val="20"/>
                <w:szCs w:val="20"/>
              </w:rPr>
              <w:t xml:space="preserve">Comprehensive documentation and example Quarkus application</w:t>
            </w:r>
          </w:p>
        </w:tc>
      </w:tr>
    </w:tbl>
    <w:p>
      <w:pPr>
        <w:spacing w:before="120" w:after="0"/>
      </w:pPr>
      <w:r>
        <w:t xml:space="preserve"/>
      </w:r>
    </w:p>
    <w:p>
      <w:r>
        <w:br w:type="pag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9. Open Questions and Ambiguities</w:t>
      </w:r>
    </w:p>
    <w:p>
      <w:pPr>
        <w:spacing w:before="80" w:after="0"/>
      </w:pPr>
      <w:r>
        <w:t xml:space="preserve"/>
      </w:r>
    </w:p>
    <w:p>
      <w:pPr>
        <w:spacing w:before="60" w:after="80"/>
      </w:pPr>
      <w:r>
        <w:rPr>
          <w:rFonts w:ascii="Arial" w:cs="Arial" w:eastAsia="Arial" w:hAnsi="Arial"/>
          <w:sz w:val="22"/>
          <w:szCs w:val="22"/>
        </w:rPr>
        <w:t xml:space="preserve">The following items require clarification before detailed design can begin. They are collected here from the ⚠ AMBIGUITY callouts throughout the document: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Questions to Resolve</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55A11"/>
                <w:sz w:val="20"/>
                <w:szCs w:val="20"/>
              </w:rPr>
              <w:t xml:space="preserve">1</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Identity Array Semantics (§4.1.1)</w:t>
            </w:r>
          </w:p>
        </w:tc>
        <w:tc>
          <w:tcPr>
            <w:tcW w:type="dxa" w:w="5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Should both visitor and authenticated IDs always be present after login, or only in the transition event? What is the canonical field name? How does it interact with session expiry?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Sampling Strategy for Tracing (§4.1.4)</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Head-based or tail-based sampling as default? What is the default sampling rate for production vs. development? Is adaptive sampling (retain errors) in scope for v1?</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55A11"/>
                <w:sz w:val="20"/>
                <w:szCs w:val="20"/>
              </w:rPr>
              <w:t xml:space="preserve">3</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Audit Record Immutability (§4.1.6)</w:t>
            </w:r>
          </w:p>
        </w:tc>
        <w:tc>
          <w:tcPr>
            <w:tcW w:type="dxa" w:w="5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Must the library enforce append-only storage at the driver level? Are soft-deletes permitted? Is explicit prohibition of audit record deletion required for compliance targets?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Field Name Standard Alignment (§5.2)</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library adopt ECS dot-notation (trace.id) or flat notation (trace_id)? Is a backend-adapter layer in scope for v1? How are field name collisions with existing Quarkus/OpenTelemetry fields resolved?</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55A11"/>
                <w:sz w:val="20"/>
                <w:szCs w:val="20"/>
              </w:rPr>
              <w:t xml:space="preserve">5</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PII Handling in Logs</w:t>
            </w:r>
          </w:p>
        </w:tc>
        <w:tc>
          <w:tcPr>
            <w:tcW w:type="dxa" w:w="5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Which fields are considered PII (email, IP address, user_id)? Should the library provide automatic masking/redaction? Is selective PII logging opt-in or opt-out?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vs. Log Separation</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audit records be written to the same log stream as technical events (differentiated by event_type), or to a completely separate persistence channel? The trade-off is simplicity vs. auditability guarantees.</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55A11"/>
                <w:sz w:val="20"/>
                <w:szCs w:val="20"/>
              </w:rPr>
              <w:t xml:space="preserve">7</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Background Job Context</w:t>
            </w:r>
          </w:p>
        </w:tc>
        <w:tc>
          <w:tcPr>
            <w:tcW w:type="dxa" w:w="5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Taylor Scott describes queue_name and job_id as essential 'Where' fields for background jobs. In Quarkus, this maps to Quarkus Scheduler / Quarkus Messaging / Vert.x workers. Which job frameworks are in scope for v1?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Exception De-duplication Strategy</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constitutes a 'duplicate' exception: same class + same message? Same class + same top stack frame? Should the de-duplication fingerprint include user identity (per-user exceptions) or be global?</w:t>
            </w:r>
          </w:p>
        </w:tc>
      </w:tr>
    </w:tbl>
    <w:p>
      <w:pPr>
        <w:spacing w:before="120" w:after="0"/>
      </w:pPr>
      <w:r>
        <w:t xml:space="preserve"/>
      </w:r>
    </w:p>
    <w:p>
      <w:pPr>
        <w:pStyle w:val="Heading1"/>
        <w:pBdr>
          <w:bottom w:val="single" w:color="2E75B6" w:sz="6"/>
        </w:pBdr>
        <w:shd w:fill="1F4E79" w:val="clear"/>
        <w:spacing w:before="360" w:after="120"/>
        <w:ind w:left="180" w:right="180"/>
      </w:pPr>
      <w:r>
        <w:rPr>
          <w:rFonts w:ascii="Arial" w:cs="Arial" w:eastAsia="Arial" w:hAnsi="Arial"/>
          <w:b/>
          <w:bCs/>
          <w:color w:val="FFFFFF"/>
          <w:sz w:val="32"/>
          <w:szCs w:val="32"/>
        </w:rPr>
        <w:t xml:space="preserve">References</w:t>
      </w:r>
    </w:p>
    <w:p>
      <w:pPr>
        <w:spacing w:before="80" w:after="0"/>
      </w:pPr>
      <w:r>
        <w:t xml:space="preserve"/>
      </w:r>
    </w:p>
    <w:p>
      <w:pPr>
        <w:spacing w:before="60" w:after="80"/>
      </w:pPr>
      <w:r>
        <w:rPr>
          <w:rFonts w:ascii="Arial" w:cs="Arial" w:eastAsia="Arial" w:hAnsi="Arial"/>
          <w:sz w:val="22"/>
          <w:szCs w:val="22"/>
        </w:rPr>
        <w:t xml:space="preserve">The following sources informed this document:</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Taylor Scott, "Logging in Production" — SolidusConf 2020. Primary source for the 5 Ws framework, Tagged Logging, JSON log formatting, and Business Value via Logs.</w:t>
      </w:r>
    </w:p>
    <w:p>
      <w:pPr>
        <w:pStyle w:val="ListParagraph"/>
        <w:numPr>
          <w:ilvl w:val="0"/>
          <w:numId w:val="2"/>
        </w:numPr>
        <w:spacing w:before="40" w:after="40"/>
      </w:pPr>
      <w:r>
        <w:rPr>
          <w:rFonts w:ascii="Arial" w:cs="Arial" w:eastAsia="Arial" w:hAnsi="Arial"/>
          <w:sz w:val="22"/>
          <w:szCs w:val="22"/>
        </w:rPr>
        <w:t xml:space="preserve">Chris Richardson, Microservices.io — Observability Patterns: Application Logging, Distributed Tracing, Audit Logging, Application Metrics, Exception Tracking, Health Check API.</w:t>
      </w:r>
    </w:p>
    <w:p>
      <w:pPr>
        <w:pStyle w:val="ListParagraph"/>
        <w:numPr>
          <w:ilvl w:val="0"/>
          <w:numId w:val="2"/>
        </w:numPr>
        <w:spacing w:before="40" w:after="40"/>
      </w:pPr>
      <w:r>
        <w:rPr>
          <w:rFonts w:ascii="Arial" w:cs="Arial" w:eastAsia="Arial" w:hAnsi="Arial"/>
          <w:sz w:val="22"/>
          <w:szCs w:val="22"/>
        </w:rPr>
        <w:t xml:space="preserve">Iluwatar, java-design-patterns — microservices-distributed-tracing and microservices-log-aggregation reference implementations on GitHub.</w:t>
      </w:r>
    </w:p>
    <w:p>
      <w:pPr>
        <w:pStyle w:val="ListParagraph"/>
        <w:numPr>
          <w:ilvl w:val="0"/>
          <w:numId w:val="2"/>
        </w:numPr>
        <w:spacing w:before="40" w:after="40"/>
      </w:pPr>
      <w:r>
        <w:rPr>
          <w:rFonts w:ascii="Arial" w:cs="Arial" w:eastAsia="Arial" w:hAnsi="Arial"/>
          <w:sz w:val="22"/>
          <w:szCs w:val="22"/>
        </w:rPr>
        <w:t xml:space="preserve">OpenTelemetry Project (opentelemetry.io) — W3C TraceContext specification, OTLP protocol, semantic conventions.</w:t>
      </w:r>
    </w:p>
    <w:p>
      <w:pPr>
        <w:pStyle w:val="ListParagraph"/>
        <w:numPr>
          <w:ilvl w:val="0"/>
          <w:numId w:val="2"/>
        </w:numPr>
        <w:spacing w:before="40" w:after="40"/>
      </w:pPr>
      <w:r>
        <w:rPr>
          <w:rFonts w:ascii="Arial" w:cs="Arial" w:eastAsia="Arial" w:hAnsi="Arial"/>
          <w:sz w:val="22"/>
          <w:szCs w:val="22"/>
        </w:rPr>
        <w:t xml:space="preserve">Quarkus 3.x Documentation — SmallRye OpenTracing, SmallRye Health, Micrometer integration, CDI lifecycle.</w:t>
      </w:r>
    </w:p>
    <w:p>
      <w:pPr>
        <w:pStyle w:val="ListParagraph"/>
        <w:numPr>
          <w:ilvl w:val="0"/>
          <w:numId w:val="2"/>
        </w:numPr>
        <w:spacing w:before="40" w:after="40"/>
      </w:pPr>
      <w:r>
        <w:rPr>
          <w:rFonts w:ascii="Arial" w:cs="Arial" w:eastAsia="Arial" w:hAnsi="Arial"/>
          <w:sz w:val="22"/>
          <w:szCs w:val="22"/>
        </w:rPr>
        <w:t xml:space="preserve">Elasticsearch Common Schema (ECS) — Field naming conventions for log and trace data.</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pBdr>
      <w:tabs>
        <w:tab w:val="right" w:pos="9360"/>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1F4E79"/>
        <w:sz w:val="22"/>
        <w:szCs w:val="22"/>
      </w:rPr>
      <w:t xml:space="preserve">OBSERVA4J  </w:t>
    </w:r>
    <w:r>
      <w:rPr>
        <w:rFonts w:ascii="Arial" w:cs="Arial" w:eastAsia="Arial" w:hAnsi="Arial"/>
        <w:color w:val="888888"/>
        <w:sz w:val="20"/>
        <w:szCs w:val="20"/>
      </w:rPr>
      <w:t xml:space="preserve">— Vision Document  v0.1-DRAFT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2026-03-09T13:14:49.929Z</dcterms:created>
  <dcterms:modified xsi:type="dcterms:W3CDTF">2026-03-09T13:14:49.930Z</dcterms:modified>
</cp:coreProperties>
</file>

<file path=docProps/custom.xml><?xml version="1.0" encoding="utf-8"?>
<Properties xmlns="http://schemas.openxmlformats.org/officeDocument/2006/custom-properties" xmlns:vt="http://schemas.openxmlformats.org/officeDocument/2006/docPropsVTypes"/>
</file>