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Обращение В Банк России</w:t>
      </w:r>
    </w:p>
    <w:p>
      <w:r>
        <w:t xml:space="preserve"/>
      </w:r>
    </w:p>
    <w:p>
      <w:r>
        <w:t xml:space="preserve">Тема:</w:t>
      </w:r>
    </w:p>
    <w:p>
      <w:r>
        <w:t xml:space="preserve"/>
      </w:r>
    </w:p>
    <w:p>
      <w:r>
        <w:t xml:space="preserve">`Предложение о единых требованиях к API инфраструктуры обращения цифровой валюты`</w:t>
      </w:r>
    </w:p>
    <w:p>
      <w:r>
        <w:t xml:space="preserve"/>
      </w:r>
    </w:p>
    <w:p>
      <w:r>
        <w:t xml:space="preserve">Текст обращения:</w:t>
      </w:r>
    </w:p>
    <w:p>
      <w:r>
        <w:t xml:space="preserve"/>
      </w:r>
    </w:p>
    <w:p>
      <w:r>
        <w:t xml:space="preserve">Уважаемые коллеги!</w:t>
      </w:r>
    </w:p>
    <w:p>
      <w:r>
        <w:t xml:space="preserve"/>
      </w:r>
    </w:p>
    <w:p>
      <w:r>
        <w:t xml:space="preserve">Прошу рассмотреть предложение о разработке единых требований к открытому API-профилю для участников инфраструктуры обращения цифровой валюты в связи с рассмотрением законопроекта N 1194918-8 и возможной подготовкой связанных подзаконных нормативных актов.</w:t>
      </w:r>
    </w:p>
    <w:p>
      <w:r>
        <w:t xml:space="preserve"/>
      </w:r>
    </w:p>
    <w:p>
      <w:r>
        <w:t xml:space="preserve">Предложение не предполагает закрепления конкретной частной библиотеки или поставщика программного обеспечения. Речь идет об открытой спецификации программного интерфейса, тестовом контуре и автоматизированной проверке совместимости. Доступ к данным и операциям должен оставаться защищенным, авторизованным и соответствующим требованиям информационной безопасности.</w:t>
      </w:r>
    </w:p>
    <w:p>
      <w:r>
        <w:t xml:space="preserve"/>
      </w:r>
    </w:p>
    <w:p>
      <w:pPr>
        <w:pStyle w:val="Heading2"/>
      </w:pPr>
      <w:r>
        <w:t xml:space="preserve">Предлагаемый Подход</w:t>
      </w:r>
    </w:p>
    <w:p>
      <w:r>
        <w:t xml:space="preserve"/>
      </w:r>
    </w:p>
    <w:p>
      <w:r>
        <w:t xml:space="preserve">Считаю целесообразным предусмотреть единый API-профиль, требования к которому утверждаются Банком России и включают:</w:t>
      </w:r>
    </w:p>
    <w:p>
      <w:r>
        <w:t xml:space="preserve"/>
      </w:r>
    </w:p>
    <w:p>
      <w:pPr>
        <w:pStyle w:val="ListNumber"/>
      </w:pPr>
      <w:r>
        <w:t xml:space="preserve">1. REST API для команд и запросов;</w:t>
      </w:r>
    </w:p>
    <w:p>
      <w:pPr>
        <w:pStyle w:val="ListNumber"/>
      </w:pPr>
      <w:r>
        <w:t xml:space="preserve">2. WebSocket API для рыночных данных;</w:t>
      </w:r>
    </w:p>
    <w:p>
      <w:pPr>
        <w:pStyle w:val="ListNumber"/>
      </w:pPr>
      <w:r>
        <w:t xml:space="preserve">3. WebSocket API для приватных событий клиента;</w:t>
      </w:r>
    </w:p>
    <w:p>
      <w:pPr>
        <w:pStyle w:val="ListNumber"/>
      </w:pPr>
      <w:r>
        <w:t xml:space="preserve">4. FIX-compatible профиль для профессиональных участников;</w:t>
      </w:r>
    </w:p>
    <w:p>
      <w:pPr>
        <w:pStyle w:val="ListNumber"/>
      </w:pPr>
      <w:r>
        <w:t xml:space="preserve">5. единую модель заявок;</w:t>
      </w:r>
    </w:p>
    <w:p>
      <w:pPr>
        <w:pStyle w:val="ListNumber"/>
      </w:pPr>
      <w:r>
        <w:t xml:space="preserve">6. единую модель сделок;</w:t>
      </w:r>
    </w:p>
    <w:p>
      <w:pPr>
        <w:pStyle w:val="ListNumber"/>
      </w:pPr>
      <w:r>
        <w:t xml:space="preserve">7. единую модель балансов и цифровых счетов;</w:t>
      </w:r>
    </w:p>
    <w:p>
      <w:pPr>
        <w:pStyle w:val="ListNumber"/>
      </w:pPr>
      <w:r>
        <w:t xml:space="preserve">8. единую модель ошибок;</w:t>
      </w:r>
    </w:p>
    <w:p>
      <w:pPr>
        <w:pStyle w:val="ListNumber"/>
      </w:pPr>
      <w:r>
        <w:t xml:space="preserve">9. единую модель комиссий и лимитов;</w:t>
      </w:r>
    </w:p>
    <w:p>
      <w:pPr>
        <w:pStyle w:val="ListNumber"/>
      </w:pPr>
      <w:r>
        <w:t xml:space="preserve">10. единые статусы wallet-операций, депозитов, выводов и внутренних переводов;</w:t>
      </w:r>
    </w:p>
    <w:p>
      <w:pPr>
        <w:pStyle w:val="ListNumber"/>
      </w:pPr>
      <w:r>
        <w:t xml:space="preserve">11. требования к аутентификации, подписи запросов, idempotency и audit trail;</w:t>
      </w:r>
    </w:p>
    <w:p>
      <w:pPr>
        <w:pStyle w:val="ListNumber"/>
      </w:pPr>
      <w:r>
        <w:t xml:space="preserve">12. sandbox/testnet и conformance tests.</w:t>
      </w:r>
    </w:p>
    <w:p>
      <w:r>
        <w:t xml:space="preserve"/>
      </w:r>
    </w:p>
    <w:p>
      <w:pPr>
        <w:pStyle w:val="Heading2"/>
      </w:pPr>
      <w:r>
        <w:t xml:space="preserve">Зачем Это Нужно Банку России И Рынку</w:t>
      </w:r>
    </w:p>
    <w:p>
      <w:r>
        <w:t xml:space="preserve"/>
      </w:r>
    </w:p>
    <w:p>
      <w:r>
        <w:t xml:space="preserve">Без единого API-профиля у участников рынка могут возникнуть несовместимые форматы заявок, сделок, балансов, статусов исполнения, лимитов, ошибок, отчетности, рыночных данных и событий контроля операций. Это усложнит надзор, аудит, анализ инцидентов и подключение новых участников.</w:t>
      </w:r>
    </w:p>
    <w:p>
      <w:r>
        <w:t xml:space="preserve"/>
      </w:r>
    </w:p>
    <w:p>
      <w:r>
        <w:t xml:space="preserve">Единые требования к API позволят:</w:t>
      </w:r>
    </w:p>
    <w:p>
      <w:r>
        <w:t xml:space="preserve"/>
      </w:r>
    </w:p>
    <w:p>
      <w:pPr>
        <w:pStyle w:val="ListNumber"/>
      </w:pPr>
      <w:r>
        <w:t xml:space="preserve">1. снизить операционные риски;</w:t>
      </w:r>
    </w:p>
    <w:p>
      <w:pPr>
        <w:pStyle w:val="ListNumber"/>
      </w:pPr>
      <w:r>
        <w:t xml:space="preserve">2. упростить контроль совместимости участников;</w:t>
      </w:r>
    </w:p>
    <w:p>
      <w:pPr>
        <w:pStyle w:val="ListNumber"/>
      </w:pPr>
      <w:r>
        <w:t xml:space="preserve">3. ускорить подключение российских брокеров, банков, разработчиков и сервисных провайдеров;</w:t>
      </w:r>
    </w:p>
    <w:p>
      <w:pPr>
        <w:pStyle w:val="ListNumber"/>
      </w:pPr>
      <w:r>
        <w:t xml:space="preserve">4. повысить качество тестирования до запуска клиентских услуг;</w:t>
      </w:r>
    </w:p>
    <w:p>
      <w:pPr>
        <w:pStyle w:val="ListNumber"/>
      </w:pPr>
      <w:r>
        <w:t xml:space="preserve">5. обеспечить единые технические условия для trading, wallet, custody, derivatives и отчетности;</w:t>
      </w:r>
    </w:p>
    <w:p>
      <w:pPr>
        <w:pStyle w:val="ListNumber"/>
      </w:pPr>
      <w:r>
        <w:t xml:space="preserve">6. сформировать независимый conformance-процесс.</w:t>
      </w:r>
    </w:p>
    <w:p>
      <w:r>
        <w:t xml:space="preserve"/>
      </w:r>
    </w:p>
    <w:p>
      <w:pPr>
        <w:pStyle w:val="Heading2"/>
      </w:pPr>
      <w:r>
        <w:t xml:space="preserve">Предлагаемые Элементы Нормативного Профиля</w:t>
      </w:r>
    </w:p>
    <w:p>
      <w:r>
        <w:t xml:space="preserve"/>
      </w:r>
    </w:p>
    <w:p>
      <w:r>
        <w:t xml:space="preserve">Прошу рассмотреть возможность включения в технические требования следующих элементов:</w:t>
      </w:r>
    </w:p>
    <w:p>
      <w:r>
        <w:t xml:space="preserve"/>
      </w:r>
    </w:p>
    <w:p>
      <w:pPr>
        <w:pStyle w:val="ListBullet"/>
      </w:pPr>
      <w:r>
        <w:t xml:space="preserve">открытая публикация API-документации в машиночитаемом виде;</w:t>
      </w:r>
    </w:p>
    <w:p>
      <w:pPr>
        <w:pStyle w:val="ListBullet"/>
      </w:pPr>
      <w:r>
        <w:t xml:space="preserve">обязательный тестовый контур до начала оказания услуг клиентам;</w:t>
      </w:r>
    </w:p>
    <w:p>
      <w:pPr>
        <w:pStyle w:val="ListBullet"/>
      </w:pPr>
      <w:r>
        <w:t xml:space="preserve">автоматизированные проверки совместимости;</w:t>
      </w:r>
    </w:p>
    <w:p>
      <w:pPr>
        <w:pStyle w:val="ListBullet"/>
      </w:pPr>
      <w:r>
        <w:t xml:space="preserve">единая модель ошибок и кодов отказа;</w:t>
      </w:r>
    </w:p>
    <w:p>
      <w:pPr>
        <w:pStyle w:val="ListBullet"/>
      </w:pPr>
      <w:r>
        <w:t xml:space="preserve">idempotency key для торговых и wallet-команд;</w:t>
      </w:r>
    </w:p>
    <w:p>
      <w:pPr>
        <w:pStyle w:val="ListBullet"/>
      </w:pPr>
      <w:r>
        <w:t xml:space="preserve">раздельные scopes API-ключей;</w:t>
      </w:r>
    </w:p>
    <w:p>
      <w:pPr>
        <w:pStyle w:val="ListBullet"/>
      </w:pPr>
      <w:r>
        <w:t xml:space="preserve">требования к подписи приватных запросов;</w:t>
      </w:r>
    </w:p>
    <w:p>
      <w:pPr>
        <w:pStyle w:val="ListBullet"/>
      </w:pPr>
      <w:r>
        <w:t xml:space="preserve">требования к WebSocket private events;</w:t>
      </w:r>
    </w:p>
    <w:p>
      <w:pPr>
        <w:pStyle w:val="ListBullet"/>
      </w:pPr>
      <w:r>
        <w:t xml:space="preserve">единый формат отчетности и событий контроля операций;</w:t>
      </w:r>
    </w:p>
    <w:p>
      <w:pPr>
        <w:pStyle w:val="ListBullet"/>
      </w:pPr>
      <w:r>
        <w:t xml:space="preserve">compatibility levels для поэтапного внедрения.</w:t>
      </w:r>
    </w:p>
    <w:p>
      <w:r>
        <w:t xml:space="preserve"/>
      </w:r>
    </w:p>
    <w:p>
      <w:r>
        <w:t xml:space="preserve">Готов предоставить для обсуждения draft технического API-профиля, OpenAPI/JSON Schema, mock exchange, conformance tests и reference SDK. Указанные материалы могут использоваться как нейтральная отправная точка для пилота и не предполагают обязательного использования конкретной библиотеки.</w:t>
      </w:r>
    </w:p>
    <w:p>
      <w:r>
        <w:t xml:space="preserve"/>
      </w:r>
    </w:p>
    <w:p>
      <w:r>
        <w:t xml:space="preserve">Прошу рассмотреть предложение при подготовке требований к инфраструктуре обращения цифровой валюты и, при наличии возможности, направить его в профильное подразделение Банка России, ответственное за регулирование финансовых рынков и цифровых активов.</w:t>
      </w:r>
    </w:p>
    <w:p>
      <w:r>
        <w:t xml:space="preserve"/>
      </w:r>
    </w:p>
    <w:p>
      <w:r>
        <w:t xml:space="preserve">С уважением,</w:t>
      </w:r>
    </w:p>
    <w:p>
      <w:r>
        <w:t xml:space="preserve"/>
      </w:r>
    </w:p>
    <w:p>
      <w:r>
        <w:t xml:space="preserve">`[ФИО]`</w:t>
      </w:r>
    </w:p>
    <w:p>
      <w:r>
        <w:t xml:space="preserve">`[город]`</w:t>
      </w:r>
    </w:p>
    <w:p>
      <w:r>
        <w:t xml:space="preserve">`[email]`</w:t>
      </w:r>
    </w:p>
    <w:p>
      <w:r>
        <w:t xml:space="preserve">`[телефон]`</w:t>
      </w:r>
    </w:p>
    <w:p>
      <w:r>
        <w:t xml:space="preserve">`[дата]`</w:t>
      </w:r>
    </w:p>
    <w:p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Heading1">
    <w:name w:val="heading 1"/>
    <w:basedOn w:val="Normal"/>
    <w:rPr>
      <w:b/>
      <w:sz w:val="36"/>
    </w:rPr>
  </w:style>
  <w:style w:type="paragraph" w:styleId="Heading2">
    <w:name w:val="heading 2"/>
    <w:basedOn w:val="Normal"/>
    <w:rPr>
      <w:b/>
      <w:sz w:val="30"/>
    </w:rPr>
  </w:style>
  <w:style w:type="paragraph" w:styleId="Heading3">
    <w:name w:val="heading 3"/>
    <w:basedOn w:val="Normal"/>
    <w:rPr>
      <w:b/>
      <w:sz w:val="26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/>

</file>