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Обращение В Государственную Думу</w:t>
      </w:r>
    </w:p>
    <w:p>
      <w:r>
        <w:t xml:space="preserve"/>
      </w:r>
    </w:p>
    <w:p>
      <w:r>
        <w:t xml:space="preserve">Тема:</w:t>
      </w:r>
    </w:p>
    <w:p>
      <w:r>
        <w:t xml:space="preserve"/>
      </w:r>
    </w:p>
    <w:p>
      <w:r>
        <w:t xml:space="preserve">`Предложение к законопроекту N 1194918-8 о едином открытом API-профиле`</w:t>
      </w:r>
    </w:p>
    <w:p>
      <w:r>
        <w:t xml:space="preserve"/>
      </w:r>
    </w:p>
    <w:p>
      <w:r>
        <w:t xml:space="preserve">Текст обращения:</w:t>
      </w:r>
    </w:p>
    <w:p>
      <w:r>
        <w:t xml:space="preserve"/>
      </w:r>
    </w:p>
    <w:p>
      <w:r>
        <w:t xml:space="preserve">Уважаемые коллеги!</w:t>
      </w:r>
    </w:p>
    <w:p>
      <w:r>
        <w:t xml:space="preserve"/>
      </w:r>
    </w:p>
    <w:p>
      <w:r>
        <w:t xml:space="preserve">Прошу рассмотреть предложение о дополнении законопроекта N 1194918-8 положением о едином открытом API-профиле для участников инфраструктуры обращения цифровой валюты.</w:t>
      </w:r>
    </w:p>
    <w:p>
      <w:r>
        <w:t xml:space="preserve"/>
      </w:r>
    </w:p>
    <w:p>
      <w:r>
        <w:t xml:space="preserve">Смысл предложения состоит не в закреплении конкретной частной библиотеки или поставщика программного обеспечения, а в установлении открытых и единых технических требований к программному взаимодействию участников рынка. Открытой должна быть спецификация интерфейса; доступ к данным, операциям и клиентской информации должен оставаться защищенным, авторизованным и соответствующим требованиям информационной безопасности.</w:t>
      </w:r>
    </w:p>
    <w:p>
      <w:r>
        <w:t xml:space="preserve"/>
      </w:r>
    </w:p>
    <w:p>
      <w:pPr>
        <w:pStyle w:val="Heading2"/>
      </w:pPr>
      <w:r>
        <w:t xml:space="preserve">Суть Предложения</w:t>
      </w:r>
    </w:p>
    <w:p>
      <w:r>
        <w:t xml:space="preserve"/>
      </w:r>
    </w:p>
    <w:p>
      <w:r>
        <w:t xml:space="preserve">Предусмотреть, что участники инфраструктуры обращения цифровой валюты, осуществляющие профессиональную деятельность в соответствии с законом, обязаны обеспечивать программное взаимодействие с клиентами, иными участниками инфраструктуры и сервисными провайдерами по открытому API-профилю, требования к которому устанавливаются Банком России.</w:t>
      </w:r>
    </w:p>
    <w:p>
      <w:r>
        <w:t xml:space="preserve"/>
      </w:r>
    </w:p>
    <w:p>
      <w:r>
        <w:t xml:space="preserve">Такой API-профиль должен включать форматы данных, требования к аутентификации, криптографической защите, заявкам, сделкам, балансам, цифровым счетам, лимитам, статусам исполнения, рыночным данным, ошибкам, событиям контроля операций, wallet-операциям, отчетности и тестовому контуру проверки совместимости.</w:t>
      </w:r>
    </w:p>
    <w:p>
      <w:r>
        <w:t xml:space="preserve"/>
      </w:r>
    </w:p>
    <w:p>
      <w:pPr>
        <w:pStyle w:val="Heading2"/>
      </w:pPr>
      <w:r>
        <w:t xml:space="preserve">Почему Это Нужно</w:t>
      </w:r>
    </w:p>
    <w:p>
      <w:r>
        <w:t xml:space="preserve"/>
      </w:r>
    </w:p>
    <w:p>
      <w:r>
        <w:t xml:space="preserve">Создание регулируемой инфраструктуры обращения цифровой валюты без единого API-профиля может привести к фрагментации технических интеграций. У разных участников могут появиться несовместимые форматы заявок, сделок, балансов, статусов исполнения, лимитов, ошибок, отчетности, рыночных данных и wallet-операций.</w:t>
      </w:r>
    </w:p>
    <w:p>
      <w:r>
        <w:t xml:space="preserve"/>
      </w:r>
    </w:p>
    <w:p>
      <w:r>
        <w:t xml:space="preserve">Это увеличит стоимость подключения российских разработчиков, брокеров, банков, депозитариев, сервисных провайдеров и торговых терминалов; усложнит надзор и аудит; повысит вероятность технических ошибок и создаст зависимость рынка от закрытых частных интерфейсов.</w:t>
      </w:r>
    </w:p>
    <w:p>
      <w:r>
        <w:t xml:space="preserve"/>
      </w:r>
    </w:p>
    <w:p>
      <w:r>
        <w:t xml:space="preserve">Единый открытый API-профиль позволит:</w:t>
      </w:r>
    </w:p>
    <w:p>
      <w:r>
        <w:t xml:space="preserve"/>
      </w:r>
    </w:p>
    <w:p>
      <w:pPr>
        <w:pStyle w:val="ListNumber"/>
      </w:pPr>
      <w:r>
        <w:t xml:space="preserve">1. снизить стоимость подключения к участникам инфраструктуры;</w:t>
      </w:r>
    </w:p>
    <w:p>
      <w:pPr>
        <w:pStyle w:val="ListNumber"/>
      </w:pPr>
      <w:r>
        <w:t xml:space="preserve">2. обеспечить совместимость бирж, брокеров, банков, депозитариев и сервисных провайдеров;</w:t>
      </w:r>
    </w:p>
    <w:p>
      <w:pPr>
        <w:pStyle w:val="ListNumber"/>
      </w:pPr>
      <w:r>
        <w:t xml:space="preserve">3. упростить надзорный и операционный контроль;</w:t>
      </w:r>
    </w:p>
    <w:p>
      <w:pPr>
        <w:pStyle w:val="ListNumber"/>
      </w:pPr>
      <w:r>
        <w:t xml:space="preserve">4. снизить риск ошибок при исполнении заявок и учете сделок;</w:t>
      </w:r>
    </w:p>
    <w:p>
      <w:pPr>
        <w:pStyle w:val="ListNumber"/>
      </w:pPr>
      <w:r>
        <w:t xml:space="preserve">5. ускорить развитие отечественного программного обеспечения;</w:t>
      </w:r>
    </w:p>
    <w:p>
      <w:pPr>
        <w:pStyle w:val="ListNumber"/>
      </w:pPr>
      <w:r>
        <w:t xml:space="preserve">6. повысить технологический суверенитет финансовой инфраструктуры;</w:t>
      </w:r>
    </w:p>
    <w:p>
      <w:pPr>
        <w:pStyle w:val="ListNumber"/>
      </w:pPr>
      <w:r>
        <w:t xml:space="preserve">7. создать единый тестовый контур для проверки совместимости.</w:t>
      </w:r>
    </w:p>
    <w:p>
      <w:r>
        <w:t xml:space="preserve"/>
      </w:r>
    </w:p>
    <w:p>
      <w:pPr>
        <w:pStyle w:val="Heading2"/>
      </w:pPr>
      <w:r>
        <w:t xml:space="preserve">Предлагаемая Редакция Нормы</w:t>
      </w:r>
    </w:p>
    <w:p>
      <w:r>
        <w:t xml:space="preserve"/>
      </w:r>
    </w:p>
    <w:p>
      <w:r>
        <w:t xml:space="preserve">Предлагаю рассмотреть следующую редакцию нормы или использовать ее как основу для юридико-технической доработки:</w:t>
      </w:r>
    </w:p>
    <w:p>
      <w:r>
        <w:t xml:space="preserve"/>
      </w:r>
    </w:p>
    <w:p>
      <w:pPr>
        <w:pStyle w:val="Quote"/>
      </w:pPr>
      <w:r>
        <w:t xml:space="preserve">Участники инфраструктуры обращения цифровой валюты, осуществляющие профессиональную деятельность в соответствии с настоящим Федеральным законом, обязаны обеспечивать программное взаимодействие с клиентами, иными участниками инфраструктуры и сервисными провайдерами посредством открытого программного интерфейса по единым требованиям.</w:t>
      </w:r>
    </w:p>
    <w:p>
      <w:r>
        <w:t xml:space="preserve">&gt;</w:t>
      </w:r>
    </w:p>
    <w:p>
      <w:pPr>
        <w:pStyle w:val="Quote"/>
      </w:pPr>
      <w:r>
        <w:t xml:space="preserve">Требования к открытому программному интерфейсу, включая форматы данных, порядок аутентификации, требования к криптографической защите, порядок передачи сведений о заявках, сделках, балансах, цифровых счетах, лимитах, статусах исполнения, рыночных данных, ошибках, событиях контроля операций, wallet-операциях и отчетности, устанавливаются нормативным актом Банка России.</w:t>
      </w:r>
    </w:p>
    <w:p>
      <w:r>
        <w:t xml:space="preserve">&gt;</w:t>
      </w:r>
    </w:p>
    <w:p>
      <w:pPr>
        <w:pStyle w:val="Quote"/>
      </w:pPr>
      <w:r>
        <w:t xml:space="preserve">Участники инфраструктуры обращения цифровой валюты обязаны обеспечить совместимость своих информационных систем с указанным интерфейсом, в том числе в тестовом контуре, до начала оказания соответствующих услуг клиентам.</w:t>
      </w:r>
    </w:p>
    <w:p>
      <w:r>
        <w:t xml:space="preserve">&gt;</w:t>
      </w:r>
    </w:p>
    <w:p>
      <w:pPr>
        <w:pStyle w:val="Quote"/>
      </w:pPr>
      <w:r>
        <w:t xml:space="preserve">Банк России вправе устанавливать порядок подтверждения соответствия программных интерфейсов участников инфраструктуры обращения цифровой валюты единым требованиям, включая использование тестовых наборов, эталонных сценариев и средств автоматизированной проверки.</w:t>
      </w:r>
    </w:p>
    <w:p>
      <w:r>
        <w:t xml:space="preserve">&gt;</w:t>
      </w:r>
    </w:p>
    <w:p>
      <w:pPr>
        <w:pStyle w:val="Quote"/>
      </w:pPr>
      <w:r>
        <w:t xml:space="preserve">Документация открытого программного интерфейса подлежит опубликованию в машиночитаемом виде, за исключением сведений, составляющих охраняемую законом тайну или создающих риски для информационной безопасности.</w:t>
      </w:r>
    </w:p>
    <w:p>
      <w:r>
        <w:t xml:space="preserve"/>
      </w:r>
    </w:p>
    <w:p>
      <w:r>
        <w:t xml:space="preserve">Также считаю целесообразным предусмотреть разработку открытой спецификации API, референсной реализации SDK, тестового стенда и набора автоматизированных проверок совместимости. Такая референсная реализация не должна быть обязательной монополией и должна использоваться как технический пример и инструмент пилотного внедрения.</w:t>
      </w:r>
    </w:p>
    <w:p>
      <w:r>
        <w:t xml:space="preserve"/>
      </w:r>
    </w:p>
    <w:p>
      <w:r>
        <w:t xml:space="preserve">Готов предоставить для обсуждения концепцию технического API-профиля, описание архитектуры, модель заявок и сделок, модель рыночных данных, модель ошибок, требования к тестовому контуру, conformance tests и reference SDK.</w:t>
      </w:r>
    </w:p>
    <w:p>
      <w:r>
        <w:t xml:space="preserve"/>
      </w:r>
    </w:p>
    <w:p>
      <w:r>
        <w:t xml:space="preserve">Прошу рассмотреть настоящее предложение при доработке законопроекта N 1194918-8 к последующим чтениям и при подготовке связанных подзаконных нормативных актов.</w:t>
      </w:r>
    </w:p>
    <w:p>
      <w:r>
        <w:t xml:space="preserve"/>
      </w:r>
    </w:p>
    <w:p>
      <w:r>
        <w:t xml:space="preserve">С уважением,</w:t>
      </w:r>
    </w:p>
    <w:p>
      <w:r>
        <w:t xml:space="preserve"/>
      </w:r>
    </w:p>
    <w:p>
      <w:r>
        <w:t xml:space="preserve">`[ФИО]`</w:t>
      </w:r>
    </w:p>
    <w:p>
      <w:r>
        <w:t xml:space="preserve">`[город]`</w:t>
      </w:r>
    </w:p>
    <w:p>
      <w:r>
        <w:t xml:space="preserve">`[email]`</w:t>
      </w:r>
    </w:p>
    <w:p>
      <w:r>
        <w:t xml:space="preserve">`[телефон]`</w:t>
      </w:r>
    </w:p>
    <w:p>
      <w:r>
        <w:t xml:space="preserve">`[дата]`</w:t>
      </w:r>
    </w:p>
    <w:p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Heading1">
    <w:name w:val="heading 1"/>
    <w:basedOn w:val="Normal"/>
    <w:rPr>
      <w:b/>
      <w:sz w:val="36"/>
    </w:rPr>
  </w:style>
  <w:style w:type="paragraph" w:styleId="Heading2">
    <w:name w:val="heading 2"/>
    <w:basedOn w:val="Normal"/>
    <w:rPr>
      <w:b/>
      <w:sz w:val="30"/>
    </w:rPr>
  </w:style>
  <w:style w:type="paragraph" w:styleId="Heading3">
    <w:name w:val="heading 3"/>
    <w:basedOn w:val="Normal"/>
    <w:rPr>
      <w:b/>
      <w:sz w:val="26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/>

</file>