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Обращение В Минфин России</w:t>
      </w:r>
    </w:p>
    <w:p>
      <w:r>
        <w:t xml:space="preserve"/>
      </w:r>
    </w:p>
    <w:p>
      <w:r>
        <w:t xml:space="preserve">Тема:</w:t>
      </w:r>
    </w:p>
    <w:p>
      <w:r>
        <w:t xml:space="preserve"/>
      </w:r>
    </w:p>
    <w:p>
      <w:r>
        <w:t xml:space="preserve">`Предложение по законопроекту N 1194918-8 о едином открытом API-профиле`</w:t>
      </w:r>
    </w:p>
    <w:p>
      <w:r>
        <w:t xml:space="preserve"/>
      </w:r>
    </w:p>
    <w:p>
      <w:r>
        <w:t xml:space="preserve">Текст обращения:</w:t>
      </w:r>
    </w:p>
    <w:p>
      <w:r>
        <w:t xml:space="preserve"/>
      </w:r>
    </w:p>
    <w:p>
      <w:r>
        <w:t xml:space="preserve">Уважаемые коллеги!</w:t>
      </w:r>
    </w:p>
    <w:p>
      <w:r>
        <w:t xml:space="preserve"/>
      </w:r>
    </w:p>
    <w:p>
      <w:r>
        <w:t xml:space="preserve">Прошу рассмотреть предложение о включении в законопроект N 1194918-8 и связанные подзаконные акты положения о едином открытом API-профиле для участников инфраструктуры обращения цифровой валюты.</w:t>
      </w:r>
    </w:p>
    <w:p>
      <w:r>
        <w:t xml:space="preserve"/>
      </w:r>
    </w:p>
    <w:p>
      <w:r>
        <w:t xml:space="preserve">Предложение направлено на снижение стоимости интеграций, развитие отечественного программного обеспечения и технологическую совместимость будущей инфраструктуры рынка. Оно не предполагает закрепления конкретной частной библиотеки или поставщика программного обеспечения.</w:t>
      </w:r>
    </w:p>
    <w:p>
      <w:r>
        <w:t xml:space="preserve"/>
      </w:r>
    </w:p>
    <w:p>
      <w:pPr>
        <w:pStyle w:val="Heading2"/>
      </w:pPr>
      <w:r>
        <w:t xml:space="preserve">Суть Предложения</w:t>
      </w:r>
    </w:p>
    <w:p>
      <w:r>
        <w:t xml:space="preserve"/>
      </w:r>
    </w:p>
    <w:p>
      <w:r>
        <w:t xml:space="preserve">Предусмотреть, что участники инфраструктуры обращения цифровой валюты, осуществляющие профессиональную деятельность в соответствии с законом, обеспечивают программное взаимодействие с клиентами, иными участниками инфраструктуры и сервисными провайдерами по открытому API-профилю, требования к которому утверждаются Банком России.</w:t>
      </w:r>
    </w:p>
    <w:p>
      <w:r>
        <w:t xml:space="preserve"/>
      </w:r>
    </w:p>
    <w:p>
      <w:r>
        <w:t xml:space="preserve">Открытой должна быть спецификация интерфейса, а не доступ к клиентским данным. Доступ к данным и операциям должен осуществляться только при наличии надлежащей авторизации, с учетом требований информационной безопасности, банковской, коммерческой, налоговой и иной охраняемой законом тайны.</w:t>
      </w:r>
    </w:p>
    <w:p>
      <w:r>
        <w:t xml:space="preserve"/>
      </w:r>
    </w:p>
    <w:p>
      <w:pPr>
        <w:pStyle w:val="Heading2"/>
      </w:pPr>
      <w:r>
        <w:t xml:space="preserve">Экономический И Инфраструктурный Эффект</w:t>
      </w:r>
    </w:p>
    <w:p>
      <w:r>
        <w:t xml:space="preserve"/>
      </w:r>
    </w:p>
    <w:p>
      <w:r>
        <w:t xml:space="preserve">Единый открытый API-профиль позволит:</w:t>
      </w:r>
    </w:p>
    <w:p>
      <w:r>
        <w:t xml:space="preserve"/>
      </w:r>
    </w:p>
    <w:p>
      <w:pPr>
        <w:pStyle w:val="ListNumber"/>
      </w:pPr>
      <w:r>
        <w:t xml:space="preserve">1. снизить стоимость подключения к участникам инфраструктуры;</w:t>
      </w:r>
    </w:p>
    <w:p>
      <w:pPr>
        <w:pStyle w:val="ListNumber"/>
      </w:pPr>
      <w:r>
        <w:t xml:space="preserve">2. уменьшить количество закрытых несовместимых интерфейсов;</w:t>
      </w:r>
    </w:p>
    <w:p>
      <w:pPr>
        <w:pStyle w:val="ListNumber"/>
      </w:pPr>
      <w:r>
        <w:t xml:space="preserve">3. ускорить развитие российских торговых терминалов, учетных систем, risk-систем и аналитических сервисов;</w:t>
      </w:r>
    </w:p>
    <w:p>
      <w:pPr>
        <w:pStyle w:val="ListNumber"/>
      </w:pPr>
      <w:r>
        <w:t xml:space="preserve">4. упростить подключение банков, брокеров, депозитариев и сервисных провайдеров;</w:t>
      </w:r>
    </w:p>
    <w:p>
      <w:pPr>
        <w:pStyle w:val="ListNumber"/>
      </w:pPr>
      <w:r>
        <w:t xml:space="preserve">5. повысить технологический суверенитет финансовой инфраструктуры;</w:t>
      </w:r>
    </w:p>
    <w:p>
      <w:pPr>
        <w:pStyle w:val="ListNumber"/>
      </w:pPr>
      <w:r>
        <w:t xml:space="preserve">6. снизить операционные риски и вероятность ошибок;</w:t>
      </w:r>
    </w:p>
    <w:p>
      <w:pPr>
        <w:pStyle w:val="ListNumber"/>
      </w:pPr>
      <w:r>
        <w:t xml:space="preserve">7. создать основу для прозрачного тестового контура и проверки совместимости.</w:t>
      </w:r>
    </w:p>
    <w:p>
      <w:r>
        <w:t xml:space="preserve"/>
      </w:r>
    </w:p>
    <w:p>
      <w:pPr>
        <w:pStyle w:val="Heading2"/>
      </w:pPr>
      <w:r>
        <w:t xml:space="preserve">Предлагаемая Юридическая Логика</w:t>
      </w:r>
    </w:p>
    <w:p>
      <w:r>
        <w:t xml:space="preserve"/>
      </w:r>
    </w:p>
    <w:p>
      <w:r>
        <w:t xml:space="preserve">На уровне закона целесообразно закрепить принцип:</w:t>
      </w:r>
    </w:p>
    <w:p>
      <w:r>
        <w:t xml:space="preserve"/>
      </w:r>
    </w:p>
    <w:p>
      <w:pPr>
        <w:pStyle w:val="Quote"/>
      </w:pPr>
      <w:r>
        <w:t xml:space="preserve">участники инфраструктуры обращения цифровой валюты обязаны поддерживать программное взаимодействие по открытому API-профилю, требования к которому устанавливаются Банком России.</w:t>
      </w:r>
    </w:p>
    <w:p>
      <w:r>
        <w:t xml:space="preserve"/>
      </w:r>
    </w:p>
    <w:p>
      <w:r>
        <w:t xml:space="preserve">На уровне нормативного акта Банка России целесообразно определить:</w:t>
      </w:r>
    </w:p>
    <w:p>
      <w:r>
        <w:t xml:space="preserve"/>
      </w:r>
    </w:p>
    <w:p>
      <w:pPr>
        <w:pStyle w:val="ListBullet"/>
      </w:pPr>
      <w:r>
        <w:t xml:space="preserve">состав API-профиля;</w:t>
      </w:r>
    </w:p>
    <w:p>
      <w:pPr>
        <w:pStyle w:val="ListBullet"/>
      </w:pPr>
      <w:r>
        <w:t xml:space="preserve">форматы заявок, сделок, балансов, цифровых счетов, лимитов, статусов исполнения, рыночных данных, ошибок и отчетности;</w:t>
      </w:r>
    </w:p>
    <w:p>
      <w:pPr>
        <w:pStyle w:val="ListBullet"/>
      </w:pPr>
      <w:r>
        <w:t xml:space="preserve">требования к аутентификации и криптографической защите;</w:t>
      </w:r>
    </w:p>
    <w:p>
      <w:pPr>
        <w:pStyle w:val="ListBullet"/>
      </w:pPr>
      <w:r>
        <w:t xml:space="preserve">требования к wallet-операциям, депозитам, выводам и transfers;</w:t>
      </w:r>
    </w:p>
    <w:p>
      <w:pPr>
        <w:pStyle w:val="ListBullet"/>
      </w:pPr>
      <w:r>
        <w:t xml:space="preserve">порядок тестирования в sandbox/testnet;</w:t>
      </w:r>
    </w:p>
    <w:p>
      <w:pPr>
        <w:pStyle w:val="ListBullet"/>
      </w:pPr>
      <w:r>
        <w:t xml:space="preserve">порядок подтверждения совместимости через conformance tests;</w:t>
      </w:r>
    </w:p>
    <w:p>
      <w:pPr>
        <w:pStyle w:val="ListBullet"/>
      </w:pPr>
      <w:r>
        <w:t xml:space="preserve">порядок публикации документации без раскрытия чувствительных сведений.</w:t>
      </w:r>
    </w:p>
    <w:p>
      <w:r>
        <w:t xml:space="preserve"/>
      </w:r>
    </w:p>
    <w:p>
      <w:r>
        <w:t xml:space="preserve">Готов предоставить для обсуждения концепцию технического API-профиля, white paper, OpenAPI/JSON Schema, mock exchange, conformance tests и reference SDK. Эти материалы могут использоваться как нейтральная база для пилота и отраслевого обсуждения.</w:t>
      </w:r>
    </w:p>
    <w:p>
      <w:r>
        <w:t xml:space="preserve"/>
      </w:r>
    </w:p>
    <w:p>
      <w:r>
        <w:t xml:space="preserve">Прошу рассмотреть настоящее предложение при доработке законопроекта N 1194918-8 и при подготовке связанных подзаконных актов.</w:t>
      </w:r>
    </w:p>
    <w:p>
      <w:r>
        <w:t xml:space="preserve"/>
      </w:r>
    </w:p>
    <w:p>
      <w:r>
        <w:t xml:space="preserve">С уважением,</w:t>
      </w:r>
    </w:p>
    <w:p>
      <w:r>
        <w:t xml:space="preserve"/>
      </w:r>
    </w:p>
    <w:p>
      <w:r>
        <w:t xml:space="preserve">`[ФИО]`</w:t>
      </w:r>
    </w:p>
    <w:p>
      <w:r>
        <w:t xml:space="preserve">`[город]`</w:t>
      </w:r>
    </w:p>
    <w:p>
      <w:r>
        <w:t xml:space="preserve">`[email]`</w:t>
      </w:r>
    </w:p>
    <w:p>
      <w:r>
        <w:t xml:space="preserve">`[телефон]`</w:t>
      </w:r>
    </w:p>
    <w:p>
      <w:r>
        <w:t xml:space="preserve">`[дата]`</w:t>
      </w:r>
    </w:p>
    <w:p>
      <w:r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24"/>
    </w:rPr>
  </w:style>
  <w:style w:type="paragraph" w:styleId="Heading1">
    <w:name w:val="heading 1"/>
    <w:basedOn w:val="Normal"/>
    <w:rPr>
      <w:b/>
      <w:sz w:val="36"/>
    </w:rPr>
  </w:style>
  <w:style w:type="paragraph" w:styleId="Heading2">
    <w:name w:val="heading 2"/>
    <w:basedOn w:val="Normal"/>
    <w:rPr>
      <w:b/>
      <w:sz w:val="30"/>
    </w:rPr>
  </w:style>
  <w:style w:type="paragraph" w:styleId="Heading3">
    <w:name w:val="heading 3"/>
    <w:basedOn w:val="Normal"/>
    <w:rPr>
      <w:b/>
      <w:sz w:val="26"/>
    </w:rPr>
  </w:style>
  <w:style w:type="paragraph" w:styleId="ListBullet">
    <w:name w:val="List Bullet"/>
    <w:basedOn w:val="Normal"/>
    <w:pPr>
      <w:ind w:left="720" w:hanging="360"/>
    </w:pPr>
  </w:style>
  <w:style w:type="paragraph" w:styleId="ListNumber">
    <w:name w:val="List Number"/>
    <w:basedOn w:val="Normal"/>
    <w:pPr>
      <w:ind w:left="720" w:hanging="360"/>
    </w:pPr>
  </w:style>
  <w:style w:type="paragraph" w:styleId="Quote">
    <w:name w:val="Quote"/>
    <w:basedOn w:val="Normal"/>
    <w:pPr>
      <w:ind w:left="360"/>
    </w:pPr>
    <w:rPr>
      <w:i/>
    </w:rPr>
  </w:style>
</w:styles>
</file>

<file path=word/_rels/document.xml.rels><?xml version="1.0" encoding="UTF-8" standalone="yes"?>
<Relationships xmlns="http://schemas.openxmlformats.org/package/2006/relationships"/>

</file>