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Предложение О Едином Открытом API-Профиле Для Инфраструктуры Обращения Цифровой Валюты</w:t>
      </w:r>
    </w:p>
    <w:p>
      <w:r>
        <w:t xml:space="preserve"/>
      </w:r>
    </w:p>
    <w:p>
      <w:r>
        <w:t xml:space="preserve">Приложение к обращению по законопроекту N 1194918-8</w:t>
      </w:r>
    </w:p>
    <w:p>
      <w:r>
        <w:t xml:space="preserve"/>
      </w:r>
    </w:p>
    <w:p>
      <w:pPr>
        <w:pStyle w:val="Heading2"/>
      </w:pPr>
      <w:r>
        <w:t xml:space="preserve">1. Краткая Проблема</w:t>
      </w:r>
    </w:p>
    <w:p>
      <w:r>
        <w:t xml:space="preserve"/>
      </w:r>
    </w:p>
    <w:p>
      <w:r>
        <w:t xml:space="preserve">При создании инфраструктуры обращения цифровой валюты существует риск технической фрагментации: каждый участник рынка может реализовать собственный закрытый API для заявок, сделок, балансов, статусов исполнения, рыночных данных, ошибок, лимитов, отчетности и wallet-операций.</w:t>
      </w:r>
    </w:p>
    <w:p>
      <w:r>
        <w:t xml:space="preserve"/>
      </w:r>
    </w:p>
    <w:p>
      <w:r>
        <w:t xml:space="preserve">Это приведет к удорожанию интеграций, росту операционных рисков, усложнению надзора, задержкам запуска отечественного программного обеспечения и технологической зависимости рынка от набора частных несовместимых интерфейсов.</w:t>
      </w:r>
    </w:p>
    <w:p>
      <w:r>
        <w:t xml:space="preserve"/>
      </w:r>
    </w:p>
    <w:p>
      <w:pPr>
        <w:pStyle w:val="Heading2"/>
      </w:pPr>
      <w:r>
        <w:t xml:space="preserve">2. Предлагаемое Решение</w:t>
      </w:r>
    </w:p>
    <w:p>
      <w:r>
        <w:t xml:space="preserve"/>
      </w:r>
    </w:p>
    <w:p>
      <w:r>
        <w:t xml:space="preserve">Закрепить принцип единого открытого API-профиля для участников инфраструктуры обращения цифровой валюты.</w:t>
      </w:r>
    </w:p>
    <w:p>
      <w:r>
        <w:t xml:space="preserve"/>
      </w:r>
    </w:p>
    <w:p>
      <w:r>
        <w:t xml:space="preserve">Открытой должна быть спецификация API, а не доступ к данным. Доступ к клиентским данным и операциям должен оставаться защищенным, авторизованным и соответствующим требованиям информационной безопасности, банковской, коммерческой, налоговой и иной охраняемой законом тайны.</w:t>
      </w:r>
    </w:p>
    <w:p>
      <w:r>
        <w:t xml:space="preserve"/>
      </w:r>
    </w:p>
    <w:p>
      <w:r>
        <w:t xml:space="preserve">Технические требования к API-профилю целесообразно устанавливать нормативным актом Банка России. В требования следует включить:</w:t>
      </w:r>
    </w:p>
    <w:p>
      <w:r>
        <w:t xml:space="preserve"/>
      </w:r>
    </w:p>
    <w:p>
      <w:pPr>
        <w:pStyle w:val="ListBullet"/>
      </w:pPr>
      <w:r>
        <w:t xml:space="preserve">REST API для команд и запросов;</w:t>
      </w:r>
    </w:p>
    <w:p>
      <w:pPr>
        <w:pStyle w:val="ListBullet"/>
      </w:pPr>
      <w:r>
        <w:t xml:space="preserve">WebSocket API для рыночных данных;</w:t>
      </w:r>
    </w:p>
    <w:p>
      <w:pPr>
        <w:pStyle w:val="ListBullet"/>
      </w:pPr>
      <w:r>
        <w:t xml:space="preserve">WebSocket API для приватных клиентских событий;</w:t>
      </w:r>
    </w:p>
    <w:p>
      <w:pPr>
        <w:pStyle w:val="ListBullet"/>
      </w:pPr>
      <w:r>
        <w:t xml:space="preserve">FIX-compatible профиль для профессиональных участников;</w:t>
      </w:r>
    </w:p>
    <w:p>
      <w:pPr>
        <w:pStyle w:val="ListBullet"/>
      </w:pPr>
      <w:r>
        <w:t xml:space="preserve">единую модель заявок;</w:t>
      </w:r>
    </w:p>
    <w:p>
      <w:pPr>
        <w:pStyle w:val="ListBullet"/>
      </w:pPr>
      <w:r>
        <w:t xml:space="preserve">единую модель сделок;</w:t>
      </w:r>
    </w:p>
    <w:p>
      <w:pPr>
        <w:pStyle w:val="ListBullet"/>
      </w:pPr>
      <w:r>
        <w:t xml:space="preserve">единую модель балансов и цифровых счетов;</w:t>
      </w:r>
    </w:p>
    <w:p>
      <w:pPr>
        <w:pStyle w:val="ListBullet"/>
      </w:pPr>
      <w:r>
        <w:t xml:space="preserve">единую модель ошибок;</w:t>
      </w:r>
    </w:p>
    <w:p>
      <w:pPr>
        <w:pStyle w:val="ListBullet"/>
      </w:pPr>
      <w:r>
        <w:t xml:space="preserve">единую модель комиссий и лимитов;</w:t>
      </w:r>
    </w:p>
    <w:p>
      <w:pPr>
        <w:pStyle w:val="ListBullet"/>
      </w:pPr>
      <w:r>
        <w:t xml:space="preserve">единые статусы wallet-операций;</w:t>
      </w:r>
    </w:p>
    <w:p>
      <w:pPr>
        <w:pStyle w:val="ListBullet"/>
      </w:pPr>
      <w:r>
        <w:t xml:space="preserve">требования к аутентификации, подписи запросов, idempotency и audit trail;</w:t>
      </w:r>
    </w:p>
    <w:p>
      <w:pPr>
        <w:pStyle w:val="ListBullet"/>
      </w:pPr>
      <w:r>
        <w:t xml:space="preserve">sandbox/testnet;</w:t>
      </w:r>
    </w:p>
    <w:p>
      <w:pPr>
        <w:pStyle w:val="ListBullet"/>
      </w:pPr>
      <w:r>
        <w:t xml:space="preserve">conformance tests и порядок подтверждения совместимости.</w:t>
      </w:r>
    </w:p>
    <w:p>
      <w:r>
        <w:t xml:space="preserve"/>
      </w:r>
    </w:p>
    <w:p>
      <w:pPr>
        <w:pStyle w:val="Heading2"/>
      </w:pPr>
      <w:r>
        <w:t xml:space="preserve">3. Предлагаемая Поправка</w:t>
      </w:r>
    </w:p>
    <w:p>
      <w:r>
        <w:t xml:space="preserve"/>
      </w:r>
    </w:p>
    <w:p>
      <w:r>
        <w:t xml:space="preserve">Возможная редакция нормы для юридико-технической доработки:</w:t>
      </w:r>
    </w:p>
    <w:p>
      <w:r>
        <w:t xml:space="preserve"/>
      </w:r>
    </w:p>
    <w:p>
      <w:pPr>
        <w:pStyle w:val="Quote"/>
      </w:pPr>
      <w:r>
        <w:t xml:space="preserve">Участники инфраструктуры обращения цифровой валюты, осуществляющие профессиональную деятельность в соответствии с настоящим Федеральным законом, обязаны обеспечивать программное взаимодействие с клиентами, иными участниками инфраструктуры и сервисными провайдерами посредством открытого программного интерфейса по единым требованиям.</w:t>
      </w:r>
    </w:p>
    <w:p>
      <w:r>
        <w:t xml:space="preserve">&gt;</w:t>
      </w:r>
    </w:p>
    <w:p>
      <w:pPr>
        <w:pStyle w:val="Quote"/>
      </w:pPr>
      <w:r>
        <w:t xml:space="preserve">Требования к открытому программному интерфейсу, включая форматы данных, порядок аутентификации, требования к криптографической защите, порядок передачи сведений о заявках, сделках, балансах, цифровых счетах, лимитах, статусах исполнения, рыночных данных, ошибках, событиях контроля операций, wallet-операциях и отчетности, устанавливаются нормативным актом Банка России.</w:t>
      </w:r>
    </w:p>
    <w:p>
      <w:r>
        <w:t xml:space="preserve">&gt;</w:t>
      </w:r>
    </w:p>
    <w:p>
      <w:pPr>
        <w:pStyle w:val="Quote"/>
      </w:pPr>
      <w:r>
        <w:t xml:space="preserve">Участники инфраструктуры обращения цифровой валюты обязаны обеспечить совместимость своих информационных систем с указанным интерфейсом, в том числе в тестовом контуре, до начала оказания соответствующих услуг клиентам.</w:t>
      </w:r>
    </w:p>
    <w:p>
      <w:r>
        <w:t xml:space="preserve">&gt;</w:t>
      </w:r>
    </w:p>
    <w:p>
      <w:pPr>
        <w:pStyle w:val="Quote"/>
      </w:pPr>
      <w:r>
        <w:t xml:space="preserve">Банк России вправе устанавливать порядок подтверждения соответствия программных интерфейсов участников инфраструктуры обращения цифровой валюты единым требованиям, включая использование тестовых наборов, эталонных сценариев и средств автоматизированной проверки.</w:t>
      </w:r>
    </w:p>
    <w:p>
      <w:r>
        <w:t xml:space="preserve">&gt;</w:t>
      </w:r>
    </w:p>
    <w:p>
      <w:pPr>
        <w:pStyle w:val="Quote"/>
      </w:pPr>
      <w:r>
        <w:t xml:space="preserve">Документация открытого программного интерфейса подлежит опубликованию в машиночитаемом виде, за исключением сведений, составляющих охраняемую законом тайну или создающих риски для информационной безопасности.</w:t>
      </w:r>
    </w:p>
    <w:p>
      <w:r>
        <w:t xml:space="preserve"/>
      </w:r>
    </w:p>
    <w:p>
      <w:pPr>
        <w:pStyle w:val="Heading2"/>
      </w:pPr>
      <w:r>
        <w:t xml:space="preserve">4. Почему Это Нужно Государству</w:t>
      </w:r>
    </w:p>
    <w:p>
      <w:r>
        <w:t xml:space="preserve"/>
      </w:r>
    </w:p>
    <w:p>
      <w:r>
        <w:t xml:space="preserve">Единый API-профиль создает техническую основу для надзора, аудита, отчетности и анализа операционных рисков. Он позволяет не только подключать участников рынка, но и проверять качество их интеграций через автоматизированные conformance tests.</w:t>
      </w:r>
    </w:p>
    <w:p>
      <w:r>
        <w:t xml:space="preserve"/>
      </w:r>
    </w:p>
    <w:p>
      <w:r>
        <w:t xml:space="preserve">Для государства это означает:</w:t>
      </w:r>
    </w:p>
    <w:p>
      <w:r>
        <w:t xml:space="preserve"/>
      </w:r>
    </w:p>
    <w:p>
      <w:pPr>
        <w:pStyle w:val="ListBullet"/>
      </w:pPr>
      <w:r>
        <w:t xml:space="preserve">меньшую зависимость от закрытых частных интерфейсов;</w:t>
      </w:r>
    </w:p>
    <w:p>
      <w:pPr>
        <w:pStyle w:val="ListBullet"/>
      </w:pPr>
      <w:r>
        <w:t xml:space="preserve">более прозрачную инфраструктуру;</w:t>
      </w:r>
    </w:p>
    <w:p>
      <w:pPr>
        <w:pStyle w:val="ListBullet"/>
      </w:pPr>
      <w:r>
        <w:t xml:space="preserve">меньший риск технических ошибок при исполнении заявок и учете сделок;</w:t>
      </w:r>
    </w:p>
    <w:p>
      <w:pPr>
        <w:pStyle w:val="ListBullet"/>
      </w:pPr>
      <w:r>
        <w:t xml:space="preserve">более быстрый запуск отечественного программного обеспечения;</w:t>
      </w:r>
    </w:p>
    <w:p>
      <w:pPr>
        <w:pStyle w:val="ListBullet"/>
      </w:pPr>
      <w:r>
        <w:t xml:space="preserve">возможность формировать единые требования к тестовым контурам.</w:t>
      </w:r>
    </w:p>
    <w:p>
      <w:r>
        <w:t xml:space="preserve"/>
      </w:r>
    </w:p>
    <w:p>
      <w:pPr>
        <w:pStyle w:val="Heading2"/>
      </w:pPr>
      <w:r>
        <w:t xml:space="preserve">5. Почему Это Нужно Рынку</w:t>
      </w:r>
    </w:p>
    <w:p>
      <w:r>
        <w:t xml:space="preserve"/>
      </w:r>
    </w:p>
    <w:p>
      <w:r>
        <w:t xml:space="preserve">Для бирж, брокеров, банков, депозитариев, wallet-провайдеров, сервисных провайдеров и разработчиков единый API-профиль снижает стоимость интеграций. Вместо набора несовместимых адаптеров участники получают общий технический словарь и проверяемую модель совместимости.</w:t>
      </w:r>
    </w:p>
    <w:p>
      <w:r>
        <w:t xml:space="preserve"/>
      </w:r>
    </w:p>
    <w:p>
      <w:r>
        <w:t xml:space="preserve">Это особенно важно для:</w:t>
      </w:r>
    </w:p>
    <w:p>
      <w:r>
        <w:t xml:space="preserve"/>
      </w:r>
    </w:p>
    <w:p>
      <w:pPr>
        <w:pStyle w:val="ListBullet"/>
      </w:pPr>
      <w:r>
        <w:t xml:space="preserve">spot trading;</w:t>
      </w:r>
    </w:p>
    <w:p>
      <w:pPr>
        <w:pStyle w:val="ListBullet"/>
      </w:pPr>
      <w:r>
        <w:t xml:space="preserve">margin trading;</w:t>
      </w:r>
    </w:p>
    <w:p>
      <w:pPr>
        <w:pStyle w:val="ListBullet"/>
      </w:pPr>
      <w:r>
        <w:t xml:space="preserve">futures и perpetual futures;</w:t>
      </w:r>
    </w:p>
    <w:p>
      <w:pPr>
        <w:pStyle w:val="ListBullet"/>
      </w:pPr>
      <w:r>
        <w:t xml:space="preserve">options и swaps;</w:t>
      </w:r>
    </w:p>
    <w:p>
      <w:pPr>
        <w:pStyle w:val="ListBullet"/>
      </w:pPr>
      <w:r>
        <w:t xml:space="preserve">wallet, deposits, withdrawals и internal transfers;</w:t>
      </w:r>
    </w:p>
    <w:p>
      <w:pPr>
        <w:pStyle w:val="ListBullet"/>
      </w:pPr>
      <w:r>
        <w:t xml:space="preserve">custody и subaccounts;</w:t>
      </w:r>
    </w:p>
    <w:p>
      <w:pPr>
        <w:pStyle w:val="ListBullet"/>
      </w:pPr>
      <w:r>
        <w:t xml:space="preserve">market data;</w:t>
      </w:r>
    </w:p>
    <w:p>
      <w:pPr>
        <w:pStyle w:val="ListBullet"/>
      </w:pPr>
      <w:r>
        <w:t xml:space="preserve">private client events;</w:t>
      </w:r>
    </w:p>
    <w:p>
      <w:pPr>
        <w:pStyle w:val="ListBullet"/>
      </w:pPr>
      <w:r>
        <w:t xml:space="preserve">reporting и audit trail.</w:t>
      </w:r>
    </w:p>
    <w:p>
      <w:r>
        <w:t xml:space="preserve"/>
      </w:r>
    </w:p>
    <w:p>
      <w:pPr>
        <w:pStyle w:val="Heading2"/>
      </w:pPr>
      <w:r>
        <w:t xml:space="preserve">6. Что Готов Предоставить Автор</w:t>
      </w:r>
    </w:p>
    <w:p>
      <w:r>
        <w:t xml:space="preserve"/>
      </w:r>
    </w:p>
    <w:p>
      <w:r>
        <w:t xml:space="preserve">Готов предоставить для обсуждения:</w:t>
      </w:r>
    </w:p>
    <w:p>
      <w:r>
        <w:t xml:space="preserve"/>
      </w:r>
    </w:p>
    <w:p>
      <w:pPr>
        <w:pStyle w:val="ListBullet"/>
      </w:pPr>
      <w:r>
        <w:t xml:space="preserve">draft технического API-профиля;</w:t>
      </w:r>
    </w:p>
    <w:p>
      <w:pPr>
        <w:pStyle w:val="ListBullet"/>
      </w:pPr>
      <w:r>
        <w:t xml:space="preserve">white paper;</w:t>
      </w:r>
    </w:p>
    <w:p>
      <w:pPr>
        <w:pStyle w:val="ListBullet"/>
      </w:pPr>
      <w:r>
        <w:t xml:space="preserve">OpenAPI schema;</w:t>
      </w:r>
    </w:p>
    <w:p>
      <w:pPr>
        <w:pStyle w:val="ListBullet"/>
      </w:pPr>
      <w:r>
        <w:t xml:space="preserve">JSON Schema;</w:t>
      </w:r>
    </w:p>
    <w:p>
      <w:pPr>
        <w:pStyle w:val="ListBullet"/>
      </w:pPr>
      <w:r>
        <w:t xml:space="preserve">Python SDK;</w:t>
      </w:r>
    </w:p>
    <w:p>
      <w:pPr>
        <w:pStyle w:val="ListBullet"/>
      </w:pPr>
      <w:r>
        <w:t xml:space="preserve">TypeScript SDK;</w:t>
      </w:r>
    </w:p>
    <w:p>
      <w:pPr>
        <w:pStyle w:val="ListBullet"/>
      </w:pPr>
      <w:r>
        <w:t xml:space="preserve">Postman collection;</w:t>
      </w:r>
    </w:p>
    <w:p>
      <w:pPr>
        <w:pStyle w:val="ListBullet"/>
      </w:pPr>
      <w:r>
        <w:t xml:space="preserve">reference mock exchange;</w:t>
      </w:r>
    </w:p>
    <w:p>
      <w:pPr>
        <w:pStyle w:val="ListBullet"/>
      </w:pPr>
      <w:r>
        <w:t xml:space="preserve">conformance test suite;</w:t>
      </w:r>
    </w:p>
    <w:p>
      <w:pPr>
        <w:pStyle w:val="ListBullet"/>
      </w:pPr>
      <w:r>
        <w:t xml:space="preserve">модель поэтапной совместимости L0-L4.</w:t>
      </w:r>
    </w:p>
    <w:p>
      <w:r>
        <w:t xml:space="preserve"/>
      </w:r>
    </w:p>
    <w:p>
      <w:r>
        <w:t xml:space="preserve">Материалы могут использоваться как нейтральная отправная точка для пилота и отраслевого обсуждения. Они не предполагают закрепления монополии конкретной библиотеки.</w:t>
      </w:r>
    </w:p>
    <w:p>
      <w:r>
        <w:t xml:space="preserve"/>
      </w:r>
    </w:p>
    <w:p>
      <w:r>
        <w:t xml:space="preserve">Публичный репозиторий проекта:</w:t>
      </w:r>
    </w:p>
    <w:p>
      <w:r>
        <w:t xml:space="preserve"/>
      </w:r>
    </w:p>
    <w:p>
      <w:r>
        <w:t xml:space="preserve">https://github.com/junior2wnw/ru-digital-asset-exchange-api-standard</w:t>
      </w:r>
    </w:p>
    <w:p>
      <w:r>
        <w:t xml:space="preserve"/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cs="Arial"/>
      <w:sz w:val="24"/>
    </w:rPr>
  </w:style>
  <w:style w:type="paragraph" w:styleId="Heading1">
    <w:name w:val="heading 1"/>
    <w:basedOn w:val="Normal"/>
    <w:rPr>
      <w:b/>
      <w:sz w:val="36"/>
    </w:rPr>
  </w:style>
  <w:style w:type="paragraph" w:styleId="Heading2">
    <w:name w:val="heading 2"/>
    <w:basedOn w:val="Normal"/>
    <w:rPr>
      <w:b/>
      <w:sz w:val="30"/>
    </w:rPr>
  </w:style>
  <w:style w:type="paragraph" w:styleId="Heading3">
    <w:name w:val="heading 3"/>
    <w:basedOn w:val="Normal"/>
    <w:rPr>
      <w:b/>
      <w:sz w:val="26"/>
    </w:rPr>
  </w:style>
  <w:style w:type="paragraph" w:styleId="ListBullet">
    <w:name w:val="List Bullet"/>
    <w:basedOn w:val="Normal"/>
    <w:pPr>
      <w:ind w:left="720" w:hanging="360"/>
    </w:pPr>
  </w:style>
  <w:style w:type="paragraph" w:styleId="ListNumber">
    <w:name w:val="List Number"/>
    <w:basedOn w:val="Normal"/>
    <w:pPr>
      <w:ind w:left="720" w:hanging="360"/>
    </w:pPr>
  </w:style>
  <w:style w:type="paragraph" w:styleId="Quote">
    <w:name w:val="Quote"/>
    <w:basedOn w:val="Normal"/>
    <w:pPr>
      <w:ind w:left="360"/>
    </w:pPr>
    <w:rPr>
      <w:i/>
    </w:rPr>
  </w:style>
</w:styles>
</file>

<file path=word/_rels/document.xml.rels><?xml version="1.0" encoding="UTF-8" standalone="yes"?>
<Relationships xmlns="http://schemas.openxmlformats.org/package/2006/relationships"/>

</file>