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B57"/>
          <w:sz w:val="40"/>
          <w:szCs w:val="40"/>
        </w:rPr>
        <w:t xml:space="preserve">Analysis Report Draft</w:t>
      </w:r>
    </w:p>
    <w:p>
      <w:pPr>
        <w:spacing w:after="60"/>
      </w:pPr>
      <w:r>
        <w:rPr>
          <w:b/>
          <w:bCs/>
          <w:color w:val="2E6F9E"/>
          <w:sz w:val="24"/>
          <w:szCs w:val="24"/>
        </w:rPr>
        <w:t xml:space="preserve">Mengatasi Kerugian pada Sub-Kategori Tables</w:t>
      </w:r>
    </w:p>
    <w:p>
      <w:pPr>
        <w:spacing w:after="300"/>
      </w:pPr>
      <w:r>
        <w:rPr>
          <w:i/>
          <w:iCs/>
          <w:color w:val="555555"/>
          <w:sz w:val="20"/>
          <w:szCs w:val="20"/>
        </w:rPr>
        <w:t xml:space="preserve">Dataset Sample Superstore | Topik 6 - Reporting &amp; Data Storytelling | Hari Senin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1. Executive Summary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Analisis terhadap 9.994 transaksi penjualan pada dataset Sample Superstore (2014-2017) mengidentifikasi bahwa sub-kategori Tables mengalami kerugian signifikan sebesar $17.725 (margin profit -8,6%) meski mencatat penjualan $206.965 - kerugian terbesar dari seluruh 17 sub-kategori produk. Akar masalahnya adalah pemberian diskon berlebihan: order dengan diskon 0% rata-rata untung $184, namun begitu diskon naik ke atas 20%, order justru rugi rata-rata $152-$236. Rekomendasi utama adalah membatasi diskon maksimum untuk Tables ke level yang masih menguntungkan.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2. Background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Dataset Sample Superstore mencatat transaksi ritel B2B/B2C di Amerika Serikat pada 4 wilayah (Central, East, South, West), 3 kategori produk (Furniture, Office Supplies, Technology), dan 17 sub-kategori. Secara keseluruhan bisnis menguntungkan (total profit $286.397 dari total sales $2.297.201, margin 12,5%), namun profitabilitas tidak merata di semua lini produk.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Proses identifikasi masalah dilakukan secara bertahap: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Segment Analysis pada level Sub-Category mengungkap 3 sub-kategori dengan profit NEGATIF: Tables (-$17.725), Bookcases (-$3.473), dan Supplies (-$1.189).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Contribution Analysis membandingkan besaran kerugian dari kandidat masalah utama: Tables jauh lebih besar (-$17.725) dibanding Bookcases (-$3.473) atau kombinasi Central Region-Furniture (-$2.871).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Tables dipilih sebagai fokus laporan karena kerugiannya paling signifikan dan paling dapat ditindaklanjuti (actionable) melalui kebijakan diskon.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3. Business Problem</w:t>
      </w:r>
    </w:p>
    <w:p>
      <w:pPr>
        <w:spacing w:after="160" w:line="300"/>
      </w:pPr>
      <w:r>
        <w:rPr>
          <w:b/>
          <w:bCs/>
          <w:color w:val="222222"/>
          <w:sz w:val="22"/>
          <w:szCs w:val="22"/>
        </w:rPr>
        <w:t xml:space="preserve">Sub-kategori Tables mengalami kerugian sebesar $17.725 (margin -8,6%) dari total penjualan $206.965 selama periode data - kerugian terbesar di antara seluruh sub-kategori produk, dan satu-satunya yang kerugiannya melebihi $10.000.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4. Business Question</w:t>
      </w:r>
    </w:p>
    <w:p>
      <w:pPr>
        <w:spacing w:after="160" w:line="300"/>
      </w:pPr>
      <w:r>
        <w:rPr>
          <w:b/>
          <w:bCs/>
          <w:i/>
          <w:iCs/>
          <w:color w:val="222222"/>
          <w:sz w:val="22"/>
          <w:szCs w:val="22"/>
        </w:rPr>
        <w:t xml:space="preserve">Mengapa sub-kategori Tables merugi meski penjualannya besar, dan apa yang bisa dilakukan untuk mengembalikannya ke posisi menguntungkan?</w:t>
      </w:r>
    </w:p>
    <w:p>
      <w:pPr>
        <w:pStyle w:val="Heading2"/>
        <w:spacing w:after="120" w:before="200"/>
      </w:pPr>
      <w:r>
        <w:rPr>
          <w:b/>
          <w:bCs/>
          <w:color w:val="2E6F9E"/>
          <w:sz w:val="24"/>
          <w:szCs w:val="24"/>
        </w:rPr>
        <w:t xml:space="preserve">Sub Questions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Apakah kerugian disebabkan oleh volume penjualan yang rendah, harga jual yang rendah, atau faktor lain seperti diskon?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Bagaimana hubungan antara level diskon dan profitabilitas order Tables?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Apakah pola ini konsisten di semua wilayah, atau terkonsentrasi di wilayah tertentu?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Solusi apa yang bisa mengembalikan profitabilitas tanpa mengorbankan volume penjualan secara drastis?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5. Data &amp; Methodology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Dataset: 9.994 baris transaksi bersih (setelah membuang baris kosong), kolom kunci meliputi Sales, Quantity, Discount, Profit, Category, Sub-Category, dan Region.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Metode: Segment Analysis (profit per sub-kategori), Contribution Analysis (kuantifikasi besaran masalah), Drill Down (Tables per level diskon), dan Comparison Analysis (scatter plot diskon vs profit).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6. Analysis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Segment Analysis menunjukkan mayoritas sub-kategori profitable, namun Tables, Bookcases, dan Supplies mencatat profit negatif. Tables adalah yang paling signifikan, dengan rata-rata diskon 26% - jauh di atas sub-kategori lain yang rata-rata di bawah 15%.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Drill Down ke level diskon pada Tables mengungkap pola yang sangat jelas: order tanpa diskon rata-rata untung $184, namun begitu diskon naik ke rentang 21-40% rata-rata rugi $152, dan pada diskon 41-60% rata-rata rugi $236 per order. Scatter plot mengonfirmasi pola ini secara visual - hampir semua order dengan diskon di atas 20% berada di zona rugi.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7. Key Findings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Tables adalah satu-satunya sub-kategori dengan kerugian di atas $10.000 ($17.725), jauh melampaui Bookcases (-$3.473) sebagai kandidat masalah kedua.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Diskon di atas 20% secara konsisten membuat order Tables merugi - hubungan negatif antara diskon dan profit sangat jelas dan dapat dikuantifikasi.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color w:val="222222"/>
          <w:sz w:val="22"/>
          <w:szCs w:val="22"/>
        </w:rPr>
        <w:t xml:space="preserve">Order Tables tanpa diskon (0%) tetap menguntungkan rata-rata $184/order, membuktikan produknya sendiri tidak bermasalah - murni soal kebijakan diskon.</w:t>
      </w:r>
    </w:p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8. Recommendation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Tiga rekomendasi berikut disusun untuk mengembalikan profitabilitas Tables tanpa menghentikan penjualannya: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200"/>
        <w:gridCol w:w="1900"/>
      </w:tblGrid>
      <w:tr>
        <w:tc>
          <w:tcPr>
            <w:tcW w:type="dxa" w:w="4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Rekomendasi</w:t>
            </w:r>
          </w:p>
        </w:tc>
        <w:tc>
          <w:tcPr>
            <w:tcW w:type="dxa" w:w="4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Deskripsi Singkat</w:t>
            </w:r>
          </w:p>
        </w:tc>
        <w:tc>
          <w:tcPr>
            <w:tcW w:type="dxa" w:w="4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Batasi Diskon Maksimum Tables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Tetapkan plafon diskon 15-20% untuk Tables, mengacu titik impas dari data.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Tinggi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Tinjau Ulang Harga Dasar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Evaluasi apakah harga dasar Tables kompetitif tanpa perlu diskon besar.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Insentif Non-Diskon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Tawarkan bundling/garansi tambahan sebagai pengganti diskon besar.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Sedang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F3B57"/>
          <w:sz w:val="28"/>
          <w:szCs w:val="28"/>
        </w:rPr>
        <w:t xml:space="preserve">9. Conclusion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Kerugian pada Tables bukan disebabkan oleh produk yang tidak diminati, melainkan kebijakan diskon yang tidak terkontrol - data menunjukkan hubungan sebab-akibat yang jelas antara level diskon dan profitabilitas. Dengan membatasi diskon ke level yang masih menguntungkan, bisnis berpotensi mengembalikan sebagian besar dari kerugian $17.725 tanpa perlu menghentikan penjualan Tables sama sekali.</w:t>
      </w:r>
    </w:p>
    <w:p>
      <w:pPr>
        <w:spacing w:before="100"/>
      </w:pPr>
    </w:p>
    <w:p>
      <w:pPr>
        <w:pBdr>
          <w:left w:val="single" w:color="D9B23C" w:sz="18"/>
        </w:pBdr>
        <w:shd w:fill="FCF3D9" w:val="clear"/>
        <w:spacing w:after="200" w:before="100"/>
        <w:ind w:left="200"/>
      </w:pPr>
      <w:r>
        <w:rPr>
          <w:i/>
          <w:iCs/>
          <w:color w:val="8A6D3B"/>
          <w:sz w:val="20"/>
          <w:szCs w:val="20"/>
        </w:rPr>
        <w:t xml:space="preserve">Dataset: Sample Superstore (leonism/sample-superstore, GitHub), 9.994 transaksi bersih, periode 2014-2017.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PT Edusoft Center Teknologi | Halaman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Report Draft | Simulasi Industri Junior Data Analyst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2026-09-02T07:13:16.519Z</dcterms:created>
  <dcterms:modified xsi:type="dcterms:W3CDTF">2026-09-02T07:13:16.530Z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