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3A5C"/>
          <w:sz w:val="40"/>
          <w:szCs w:val="40"/>
        </w:rPr>
        <w:t xml:space="preserve">PARECER TÉCNICO PERICIAL</w:t>
      </w:r>
    </w:p>
    <w:p>
      <w:pPr>
        <w:pBdr>
          <w:bottom w:val="single" w:color="1B3A5C" w:sz="8" w:space="8"/>
        </w:pBdr>
        <w:spacing w:after="100"/>
        <w:jc w:val="center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Análise de Irregularidades Procedimentais e Técnicas</w:t>
      </w:r>
    </w:p>
    <w:p>
      <w:pPr>
        <w:spacing w:after="80" w:before="200"/>
        <w:jc w:val="center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Termo de Ocorrência de Inspeção (TOI) nº 7023163084</w:t>
      </w:r>
    </w:p>
    <w:p>
      <w:pPr>
        <w:spacing w:after="8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CPFL Piratininga — Instalação 4002883320</w:t>
      </w:r>
    </w:p>
    <w:p>
      <w:pPr>
        <w:spacing w:after="60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Data da Inspeção: 24 de março de 2026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</w:tblGrid>
      <w:tr>
        <w:tc>
          <w:tcPr>
            <w:tcW w:type="dxa" w:w="32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Consumidor:</w:t>
            </w:r>
          </w:p>
        </w:tc>
        <w:tc>
          <w:tcPr>
            <w:tcW w:type="dxa" w:w="616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Viviane dos Santos Penninck</w:t>
            </w:r>
          </w:p>
        </w:tc>
      </w:tr>
      <w:tr>
        <w:tc>
          <w:tcPr>
            <w:tcW w:type="dxa" w:w="32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CPF:</w:t>
            </w:r>
          </w:p>
        </w:tc>
        <w:tc>
          <w:tcPr>
            <w:tcW w:type="dxa" w:w="616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308.752.178-77</w:t>
            </w:r>
          </w:p>
        </w:tc>
      </w:tr>
      <w:tr>
        <w:tc>
          <w:tcPr>
            <w:tcW w:type="dxa" w:w="32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Endereço:</w:t>
            </w:r>
          </w:p>
        </w:tc>
        <w:tc>
          <w:tcPr>
            <w:tcW w:type="dxa" w:w="616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Est. Aparecidinha, 6080 — Tanque Velho, Aracariguama/SP</w:t>
            </w:r>
          </w:p>
        </w:tc>
      </w:tr>
      <w:tr>
        <w:tc>
          <w:tcPr>
            <w:tcW w:type="dxa" w:w="32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Instalação:</w:t>
            </w:r>
          </w:p>
        </w:tc>
        <w:tc>
          <w:tcPr>
            <w:tcW w:type="dxa" w:w="616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4002883320</w:t>
            </w:r>
          </w:p>
        </w:tc>
      </w:tr>
      <w:tr>
        <w:tc>
          <w:tcPr>
            <w:tcW w:type="dxa" w:w="32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TOI nº:</w:t>
            </w:r>
          </w:p>
        </w:tc>
        <w:tc>
          <w:tcPr>
            <w:tcW w:type="dxa" w:w="616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7023163084</w:t>
            </w:r>
          </w:p>
        </w:tc>
      </w:tr>
      <w:tr>
        <w:tc>
          <w:tcPr>
            <w:tcW w:type="dxa" w:w="32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Classe:</w:t>
            </w:r>
          </w:p>
        </w:tc>
        <w:tc>
          <w:tcPr>
            <w:tcW w:type="dxa" w:w="616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Residencial</w:t>
            </w:r>
          </w:p>
        </w:tc>
      </w:tr>
      <w:tr>
        <w:tc>
          <w:tcPr>
            <w:tcW w:type="dxa" w:w="32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Inspetores:</w:t>
            </w:r>
          </w:p>
        </w:tc>
        <w:tc>
          <w:tcPr>
            <w:tcW w:type="dxa" w:w="616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Luiz H. (mat. 2025535) e Wilson D. (mat. 2039279)</w:t>
            </w:r>
          </w:p>
        </w:tc>
      </w:tr>
      <w:tr>
        <w:tc>
          <w:tcPr>
            <w:tcW w:type="dxa" w:w="32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Equipe:</w:t>
            </w:r>
          </w:p>
        </w:tc>
        <w:tc>
          <w:tcPr>
            <w:tcW w:type="dxa" w:w="616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9139</w:t>
            </w:r>
          </w:p>
        </w:tc>
      </w:tr>
      <w:tr>
        <w:tc>
          <w:tcPr>
            <w:tcW w:type="dxa" w:w="32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Data do Parecer:</w:t>
            </w:r>
          </w:p>
        </w:tc>
        <w:tc>
          <w:tcPr>
            <w:tcW w:type="dxa" w:w="616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26 de março de 2026</w:t>
            </w:r>
          </w:p>
        </w:tc>
      </w:tr>
    </w:tbl>
    <w:p>
      <w:pPr>
        <w:spacing w:before="1200"/>
      </w:pPr>
    </w:p>
    <w:p>
      <w:pPr>
        <w:jc w:val="center"/>
      </w:pPr>
      <w:r>
        <w:rPr>
          <w:rFonts w:ascii="Arial" w:cs="Arial" w:eastAsia="Arial" w:hAnsi="Arial"/>
          <w:b/>
          <w:bCs/>
          <w:color w:val="CC0000"/>
          <w:sz w:val="22"/>
          <w:szCs w:val="22"/>
        </w:rPr>
        <w:t xml:space="preserve">CONFIDENCIAL — DOCUMENTO PARA FINS DE DEFESA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1. OBJETO DO PARECER</w:t>
      </w:r>
    </w:p>
    <w:p>
      <w:pPr>
        <w:spacing w:after="120" w:before="120" w:line="276"/>
        <w:ind w:firstLine="720"/>
        <w:jc w:val="both"/>
      </w:pPr>
      <w:r>
        <w:rPr>
          <w:rFonts w:ascii="Arial" w:cs="Arial" w:eastAsia="Arial" w:hAnsi="Arial"/>
          <w:sz w:val="24"/>
          <w:szCs w:val="24"/>
        </w:rPr>
        <w:t xml:space="preserve">O presente parecer técnico tem por objeto a análise crítica do Termo de Ocorrência de Inspeção (TOI) nº 7023163084, lavrado em 24/03/2026 pela equipe 9139 da CPFL Piratininga, na unidade consumidora nº 4002883320, de titularidade de Viviane dos Santos Penninck, localizada na Estrada Aparecidinha, 6080, bairro Tanque Velho, município de Aracariguama/SP.</w:t>
      </w:r>
    </w:p>
    <w:p>
      <w:pPr>
        <w:spacing w:after="120" w:before="120" w:line="276"/>
        <w:ind w:firstLine="720"/>
        <w:jc w:val="both"/>
      </w:pPr>
      <w:r>
        <w:rPr>
          <w:rFonts w:ascii="Arial" w:cs="Arial" w:eastAsia="Arial" w:hAnsi="Arial"/>
          <w:sz w:val="24"/>
          <w:szCs w:val="24"/>
        </w:rPr>
        <w:t xml:space="preserve">A finalidade é identificar possíveis falhas procedimentais, técnicas e regulatórias que possam ensejar a nulidade do referido TOI, com base na Resolução Normativa ANEEL nº 1.000/2021, no Código de Defesa do Consumidor (Lei 8.078/90), na Constituição Federal e na jurisprudência aplicável.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2. DOCUMENTOS E EVIDÊNCIAS ANALISADOS</w:t>
      </w:r>
    </w:p>
    <w:p>
      <w:pPr>
        <w:pStyle w:val="ListParagraph"/>
        <w:numPr>
          <w:ilvl w:val="0"/>
          <w:numId w:val="2"/>
        </w:numPr>
        <w:spacing w:after="60" w:before="60" w:line="276"/>
      </w:pPr>
      <w:r>
        <w:rPr>
          <w:rFonts w:ascii="Arial" w:cs="Arial" w:eastAsia="Arial" w:hAnsi="Arial"/>
          <w:sz w:val="24"/>
          <w:szCs w:val="24"/>
        </w:rPr>
        <w:t xml:space="preserve">Comprovante de Visita emitido pela CPFL em 24/03/2026</w:t>
      </w:r>
    </w:p>
    <w:p>
      <w:pPr>
        <w:pStyle w:val="ListParagraph"/>
        <w:numPr>
          <w:ilvl w:val="0"/>
          <w:numId w:val="2"/>
        </w:numPr>
        <w:spacing w:after="60" w:before="60" w:line="276"/>
      </w:pPr>
      <w:r>
        <w:rPr>
          <w:rFonts w:ascii="Arial" w:cs="Arial" w:eastAsia="Arial" w:hAnsi="Arial"/>
          <w:sz w:val="24"/>
          <w:szCs w:val="24"/>
        </w:rPr>
        <w:t xml:space="preserve">Termo de Ocorrência de Inspeção (TOI) nº 7023163084 (4 páginas)</w:t>
      </w:r>
    </w:p>
    <w:p>
      <w:pPr>
        <w:pStyle w:val="ListParagraph"/>
        <w:numPr>
          <w:ilvl w:val="0"/>
          <w:numId w:val="2"/>
        </w:numPr>
        <w:spacing w:after="60" w:before="60" w:line="276"/>
      </w:pPr>
      <w:r>
        <w:rPr>
          <w:rFonts w:ascii="Arial" w:cs="Arial" w:eastAsia="Arial" w:hAnsi="Arial"/>
          <w:sz w:val="24"/>
          <w:szCs w:val="24"/>
        </w:rPr>
        <w:t xml:space="preserve">Fotografias da inspeção (9 imagens, entre fotos da pasta local e links do sistema CPFL)</w:t>
      </w:r>
    </w:p>
    <w:p>
      <w:pPr>
        <w:pStyle w:val="ListParagraph"/>
        <w:numPr>
          <w:ilvl w:val="0"/>
          <w:numId w:val="2"/>
        </w:numPr>
        <w:spacing w:after="60" w:before="60" w:line="276"/>
      </w:pPr>
      <w:r>
        <w:rPr>
          <w:rFonts w:ascii="Arial" w:cs="Arial" w:eastAsia="Arial" w:hAnsi="Arial"/>
          <w:sz w:val="24"/>
          <w:szCs w:val="24"/>
        </w:rPr>
        <w:t xml:space="preserve">Resolução Normativa ANEEL nº 1.000, de 7 de dezembro de 2021</w:t>
      </w:r>
    </w:p>
    <w:p>
      <w:pPr>
        <w:pStyle w:val="ListParagraph"/>
        <w:numPr>
          <w:ilvl w:val="0"/>
          <w:numId w:val="2"/>
        </w:numPr>
        <w:spacing w:after="60" w:before="60" w:line="276"/>
      </w:pPr>
      <w:r>
        <w:rPr>
          <w:rFonts w:ascii="Arial" w:cs="Arial" w:eastAsia="Arial" w:hAnsi="Arial"/>
          <w:sz w:val="24"/>
          <w:szCs w:val="24"/>
        </w:rPr>
        <w:t xml:space="preserve">Jurisprudência do STJ (REsp 1605703/SP) e tribunais estaduais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3. CONSTATAÇÕES REGISTRADAS NO TOI</w:t>
      </w:r>
    </w:p>
    <w:p>
      <w:pPr>
        <w:spacing w:after="120" w:before="120" w:line="276"/>
        <w:ind w:firstLine="720"/>
        <w:jc w:val="both"/>
      </w:pPr>
      <w:r>
        <w:rPr>
          <w:rFonts w:ascii="Arial" w:cs="Arial" w:eastAsia="Arial" w:hAnsi="Arial"/>
          <w:sz w:val="24"/>
          <w:szCs w:val="24"/>
        </w:rPr>
        <w:t xml:space="preserve">O TOI lavrado pela equipe da CPFL registrou as seguintes ocorrências: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72"/>
      </w:tblGrid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Código</w:t>
            </w:r>
          </w:p>
        </w:tc>
        <w:tc>
          <w:tcPr>
            <w:tcW w:type="dxa" w:w="787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Descrição da Ocorrência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342</w:t>
            </w:r>
          </w:p>
        </w:tc>
        <w:tc>
          <w:tcPr>
            <w:tcW w:type="dxa" w:w="787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Desvio de energia embutido na alvenaria — sempre deixar cortado para reforma (cortado e não reg.)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310</w:t>
            </w:r>
          </w:p>
        </w:tc>
        <w:tc>
          <w:tcPr>
            <w:tcW w:type="dxa" w:w="787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Ligação invertida da saída com entrada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206</w:t>
            </w:r>
          </w:p>
        </w:tc>
        <w:tc>
          <w:tcPr>
            <w:tcW w:type="dxa" w:w="787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Caixa de medição ou caixa proteção sem lacres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235</w:t>
            </w:r>
          </w:p>
        </w:tc>
        <w:tc>
          <w:tcPr>
            <w:tcW w:type="dxa" w:w="787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Tampa de borne do medidor sem lacres</w:t>
            </w:r>
          </w:p>
        </w:tc>
      </w:tr>
    </w:tbl>
    <w:p>
      <w:pPr>
        <w:spacing w:after="120" w:before="200" w:line="276"/>
        <w:ind w:firstLine="720"/>
        <w:jc w:val="both"/>
      </w:pPr>
      <w:r>
        <w:rPr>
          <w:rFonts w:ascii="Arial" w:cs="Arial" w:eastAsia="Arial" w:hAnsi="Arial"/>
          <w:sz w:val="24"/>
          <w:szCs w:val="24"/>
        </w:rPr>
        <w:t xml:space="preserve">Adicionalmente, o TOI registra que a ocorrência foi fotografada/filmada (campo 13 = SIM), que a UC foi normalizada no ato da inspeção (campo 14 = SIM), e que o consumidor NÃO solicitou perícia técnica (campo 10 = NÃO).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4. ANÁLISE DAS FALHAS IDENTIFICADAS</w:t>
      </w:r>
    </w:p>
    <w:p>
      <w:pPr>
        <w:pStyle w:val="Heading2"/>
        <w:spacing w:after="200" w:before="36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4.1. Ausência de Levantamento de Carga Instalada</w:t>
      </w:r>
    </w:p>
    <w:p>
      <w:pPr>
        <w:spacing w:after="120" w:before="120" w:line="276"/>
        <w:ind w:firstLine="720"/>
        <w:jc w:val="both"/>
      </w:pPr>
      <w:r>
        <w:rPr>
          <w:rFonts w:ascii="Arial" w:cs="Arial" w:eastAsia="Arial" w:hAnsi="Arial"/>
          <w:sz w:val="24"/>
          <w:szCs w:val="24"/>
        </w:rPr>
        <w:t xml:space="preserve">O campo 9 do TOI (“Levantamento de Carga Instalada”) encontra-se completamente em branco. Não há registro de nenhum equipamento, quantidade ou potência unitária que justifique a alegação de desvio de energia.</w:t>
      </w:r>
    </w:p>
    <w:p>
      <w:pPr>
        <w:spacing w:after="120" w:before="120" w:line="276"/>
        <w:ind w:firstLine="720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Fundamento legal: </w:t>
      </w:r>
      <w:r>
        <w:rPr>
          <w:rFonts w:ascii="Arial" w:cs="Arial" w:eastAsia="Arial" w:hAnsi="Arial"/>
          <w:sz w:val="24"/>
          <w:szCs w:val="24"/>
        </w:rPr>
        <w:t xml:space="preserve">O art. 591 e seguintes da Resolução ANEEL 1.000/2021 determinam que o TOI deve ser instruído com elementos probatórios suficientes para caracterizar a irregularidade. O levantamento de carga é peça fundamental para a quantificação do suposto consumo desviado. Sem ele, a distribuidora não possui base técnica para calcular qualquer diferença de faturamento.</w:t>
      </w:r>
    </w:p>
    <w:p>
      <w:pPr>
        <w:spacing w:after="120" w:before="120" w:line="276"/>
        <w:ind w:firstLine="720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Impacto: </w:t>
      </w:r>
      <w:r>
        <w:rPr>
          <w:rFonts w:ascii="Arial" w:cs="Arial" w:eastAsia="Arial" w:hAnsi="Arial"/>
          <w:sz w:val="24"/>
          <w:szCs w:val="24"/>
        </w:rPr>
        <w:t xml:space="preserve">A ausência do levantamento de carga torna impossível a apuração de diferenças de faturamento prevista na regulamentação, configurando nulidade por falta de elemento essencial do ato administrativo.</w:t>
      </w:r>
    </w:p>
    <w:p>
      <w:pPr>
        <w:pStyle w:val="Heading2"/>
        <w:spacing w:after="200" w:before="36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4.2. Medidor Não Identificado / Dados Incompletos</w:t>
      </w:r>
    </w:p>
    <w:p>
      <w:pPr>
        <w:spacing w:after="120" w:before="120" w:line="276"/>
        <w:ind w:firstLine="720"/>
        <w:jc w:val="both"/>
      </w:pPr>
      <w:r>
        <w:rPr>
          <w:rFonts w:ascii="Arial" w:cs="Arial" w:eastAsia="Arial" w:hAnsi="Arial"/>
          <w:sz w:val="24"/>
          <w:szCs w:val="24"/>
        </w:rPr>
        <w:t xml:space="preserve">Na seção 5 (“Dados da Medição”) do TOI, os campos referentes ao medidor encontrado estão parcialmente preenchidos. Faltam informações críticas:</w:t>
      </w:r>
    </w:p>
    <w:p>
      <w:pPr>
        <w:pStyle w:val="ListParagraph"/>
        <w:numPr>
          <w:ilvl w:val="0"/>
          <w:numId w:val="2"/>
        </w:numPr>
        <w:spacing w:after="60" w:before="60" w:line="276"/>
      </w:pPr>
      <w:r>
        <w:rPr>
          <w:rFonts w:ascii="Arial" w:cs="Arial" w:eastAsia="Arial" w:hAnsi="Arial"/>
          <w:sz w:val="24"/>
          <w:szCs w:val="24"/>
        </w:rPr>
        <w:t xml:space="preserve">Número de série do medidor encontrado: ausente ou incompleto</w:t>
      </w:r>
    </w:p>
    <w:p>
      <w:pPr>
        <w:pStyle w:val="ListParagraph"/>
        <w:numPr>
          <w:ilvl w:val="0"/>
          <w:numId w:val="2"/>
        </w:numPr>
        <w:spacing w:after="60" w:before="60" w:line="276"/>
      </w:pPr>
      <w:r>
        <w:rPr>
          <w:rFonts w:ascii="Arial" w:cs="Arial" w:eastAsia="Arial" w:hAnsi="Arial"/>
          <w:sz w:val="24"/>
          <w:szCs w:val="24"/>
        </w:rPr>
        <w:t xml:space="preserve">Fabricante: não claramente identificado</w:t>
      </w:r>
    </w:p>
    <w:p>
      <w:pPr>
        <w:pStyle w:val="ListParagraph"/>
        <w:numPr>
          <w:ilvl w:val="0"/>
          <w:numId w:val="2"/>
        </w:numPr>
        <w:spacing w:after="60" w:before="60" w:line="276"/>
      </w:pPr>
      <w:r>
        <w:rPr>
          <w:rFonts w:ascii="Arial" w:cs="Arial" w:eastAsia="Arial" w:hAnsi="Arial"/>
          <w:sz w:val="24"/>
          <w:szCs w:val="24"/>
        </w:rPr>
        <w:t xml:space="preserve">Leitura nominal: não registrada</w:t>
      </w:r>
    </w:p>
    <w:p>
      <w:pPr>
        <w:pStyle w:val="ListParagraph"/>
        <w:numPr>
          <w:ilvl w:val="0"/>
          <w:numId w:val="2"/>
        </w:numPr>
        <w:spacing w:after="60" w:before="60" w:line="276"/>
      </w:pPr>
      <w:r>
        <w:rPr>
          <w:rFonts w:ascii="Arial" w:cs="Arial" w:eastAsia="Arial" w:hAnsi="Arial"/>
          <w:sz w:val="24"/>
          <w:szCs w:val="24"/>
        </w:rPr>
        <w:t xml:space="preserve">Tipo de medidor e tensão máxima: campos incompletos</w:t>
      </w:r>
    </w:p>
    <w:p>
      <w:pPr>
        <w:spacing w:after="120" w:before="120" w:line="276"/>
        <w:ind w:firstLine="720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Fundamento: </w:t>
      </w:r>
      <w:r>
        <w:rPr>
          <w:rFonts w:ascii="Arial" w:cs="Arial" w:eastAsia="Arial" w:hAnsi="Arial"/>
          <w:sz w:val="24"/>
          <w:szCs w:val="24"/>
        </w:rPr>
        <w:t xml:space="preserve">O TOI deve conter a identificação completa do equipamento de medição para que se possa verificar se houve efetiva violação. A falta desses dados impossibilita a rastreabilidade do medidor e compromete a cadeia de custódia probatória.</w:t>
      </w:r>
    </w:p>
    <w:p>
      <w:pPr>
        <w:pStyle w:val="Heading2"/>
        <w:spacing w:after="200" w:before="36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4.3. Contradição na Medida do Alicate Amperímetro</w:t>
      </w:r>
    </w:p>
    <w:p>
      <w:pPr>
        <w:spacing w:after="120" w:before="120" w:line="276"/>
        <w:ind w:firstLine="720"/>
        <w:jc w:val="both"/>
      </w:pPr>
      <w:r>
        <w:rPr>
          <w:rFonts w:ascii="Arial" w:cs="Arial" w:eastAsia="Arial" w:hAnsi="Arial"/>
          <w:sz w:val="24"/>
          <w:szCs w:val="24"/>
        </w:rPr>
        <w:t xml:space="preserve">As fotografias da inspeção revelam medições realizadas com equipamento “Ampstik Plus” da SensorLink, que é um amperímetro AC RMS de alta tensão (1–5000A, rated 500kV). As leituras registradas nas fotos são:</w:t>
      </w:r>
    </w:p>
    <w:p>
      <w:pPr>
        <w:pStyle w:val="ListParagraph"/>
        <w:numPr>
          <w:ilvl w:val="0"/>
          <w:numId w:val="2"/>
        </w:numPr>
        <w:spacing w:after="60" w:before="60" w:line="276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Foto 1: </w:t>
      </w:r>
      <w:r>
        <w:rPr>
          <w:rFonts w:ascii="Arial" w:cs="Arial" w:eastAsia="Arial" w:hAnsi="Arial"/>
          <w:sz w:val="24"/>
          <w:szCs w:val="24"/>
        </w:rPr>
        <w:t xml:space="preserve">90,6 A (medido na rede aérea/poste)</w:t>
      </w:r>
    </w:p>
    <w:p>
      <w:pPr>
        <w:pStyle w:val="ListParagraph"/>
        <w:numPr>
          <w:ilvl w:val="0"/>
          <w:numId w:val="2"/>
        </w:numPr>
        <w:spacing w:after="60" w:before="60" w:line="276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Foto 2: </w:t>
      </w:r>
      <w:r>
        <w:rPr>
          <w:rFonts w:ascii="Arial" w:cs="Arial" w:eastAsia="Arial" w:hAnsi="Arial"/>
          <w:sz w:val="24"/>
          <w:szCs w:val="24"/>
        </w:rPr>
        <w:t xml:space="preserve">82,0 A (segunda medição na mesma localidade)</w:t>
      </w:r>
    </w:p>
    <w:p>
      <w:pPr>
        <w:pStyle w:val="ListParagraph"/>
        <w:numPr>
          <w:ilvl w:val="0"/>
          <w:numId w:val="2"/>
        </w:numPr>
        <w:spacing w:after="60" w:before="60" w:line="276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Foto 3: </w:t>
      </w:r>
      <w:r>
        <w:rPr>
          <w:rFonts w:ascii="Arial" w:cs="Arial" w:eastAsia="Arial" w:hAnsi="Arial"/>
          <w:sz w:val="24"/>
          <w:szCs w:val="24"/>
        </w:rPr>
        <w:t xml:space="preserve">0,00 A (alicate amperímetro convencional nos cabos internos da caixa)</w:t>
      </w:r>
    </w:p>
    <w:p>
      <w:pPr>
        <w:spacing w:after="120" w:before="120" w:line="276"/>
        <w:ind w:firstLine="720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Análise crítica: </w:t>
      </w:r>
      <w:r>
        <w:rPr>
          <w:rFonts w:ascii="Arial" w:cs="Arial" w:eastAsia="Arial" w:hAnsi="Arial"/>
          <w:sz w:val="24"/>
          <w:szCs w:val="24"/>
        </w:rPr>
        <w:t xml:space="preserve">O Ampstik Plus é um instrumento projetado para medição em linhas de alta tensão (redes primárias e secundárias aéreas). As leituras de 90,6A e 82,0A parecem ter sido realizadas diretamente no cabo de entrada da rede aérea, e não no ramal individual da unidade consumidora residencial. Uma residência convencional em fornecimento monofásico (Tipo D, conforme o próprio TOI) jamais consumiria 90 amperes, o que equivaleria a aproximadamente 19,8 kW — valor completamente desproporcional para uma residência.</w:t>
      </w:r>
    </w:p>
    <w:p>
      <w:pPr>
        <w:spacing w:after="120" w:before="120" w:line="276"/>
        <w:ind w:firstLine="720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Possível conclusão: </w:t>
      </w:r>
      <w:r>
        <w:rPr>
          <w:rFonts w:ascii="Arial" w:cs="Arial" w:eastAsia="Arial" w:hAnsi="Arial"/>
          <w:sz w:val="24"/>
          <w:szCs w:val="24"/>
        </w:rPr>
        <w:t xml:space="preserve">As medições do Ampstik foram realizadas na rede geral e não no ramal específico da unidade consumidora, ou houve erro metodológico. A terceira medição (0,00A no alicate convencional dentro da caixa) sugere que, no momento da inspeção, não havia corrente passando por fora do medidor na instalação interna, o que contraria a tese de desvio ativo.</w:t>
      </w:r>
    </w:p>
    <w:p>
      <w:pPr>
        <w:pStyle w:val="Heading2"/>
        <w:spacing w:after="200" w:before="36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4.4. Ausência de Prova Concreta do Desvio Embutido</w:t>
      </w:r>
    </w:p>
    <w:p>
      <w:pPr>
        <w:spacing w:after="120" w:before="120" w:line="276"/>
        <w:ind w:firstLine="720"/>
        <w:jc w:val="both"/>
      </w:pPr>
      <w:r>
        <w:rPr>
          <w:rFonts w:ascii="Arial" w:cs="Arial" w:eastAsia="Arial" w:hAnsi="Arial"/>
          <w:sz w:val="24"/>
          <w:szCs w:val="24"/>
        </w:rPr>
        <w:t xml:space="preserve">A foto que mostra a abertura na alvenaria (fotos 2 e 4 da pasta) exibe uma cavidade na parede com cabos elétricos visíveis, tubulação e vergalhões. No entanto:</w:t>
      </w:r>
    </w:p>
    <w:p>
      <w:pPr>
        <w:pStyle w:val="ListParagraph"/>
        <w:numPr>
          <w:ilvl w:val="0"/>
          <w:numId w:val="2"/>
        </w:numPr>
        <w:spacing w:after="60" w:before="60" w:line="276"/>
      </w:pPr>
      <w:r>
        <w:rPr>
          <w:rFonts w:ascii="Arial" w:cs="Arial" w:eastAsia="Arial" w:hAnsi="Arial"/>
          <w:sz w:val="24"/>
          <w:szCs w:val="24"/>
        </w:rPr>
        <w:t xml:space="preserve">Não há registro fotográfico que demonstre a conexão direta entre os cabos da rede (antes do medidor) e os cabos internos da residência</w:t>
      </w:r>
    </w:p>
    <w:p>
      <w:pPr>
        <w:pStyle w:val="ListParagraph"/>
        <w:numPr>
          <w:ilvl w:val="0"/>
          <w:numId w:val="2"/>
        </w:numPr>
        <w:spacing w:after="60" w:before="60" w:line="276"/>
      </w:pPr>
      <w:r>
        <w:rPr>
          <w:rFonts w:ascii="Arial" w:cs="Arial" w:eastAsia="Arial" w:hAnsi="Arial"/>
          <w:sz w:val="24"/>
          <w:szCs w:val="24"/>
        </w:rPr>
        <w:t xml:space="preserve">Não foi documentado o caminho elétrico completo do suposto desvio</w:t>
      </w:r>
    </w:p>
    <w:p>
      <w:pPr>
        <w:pStyle w:val="ListParagraph"/>
        <w:numPr>
          <w:ilvl w:val="0"/>
          <w:numId w:val="2"/>
        </w:numPr>
        <w:spacing w:after="60" w:before="60" w:line="276"/>
      </w:pPr>
      <w:r>
        <w:rPr>
          <w:rFonts w:ascii="Arial" w:cs="Arial" w:eastAsia="Arial" w:hAnsi="Arial"/>
          <w:sz w:val="24"/>
          <w:szCs w:val="24"/>
        </w:rPr>
        <w:t xml:space="preserve">O próprio TOI anota “cortado e não reg.” (cortado e não regularizado), sugerindo que o suposto desvio estava desativado/cortado no momento da inspeção</w:t>
      </w:r>
    </w:p>
    <w:p>
      <w:pPr>
        <w:pStyle w:val="ListParagraph"/>
        <w:numPr>
          <w:ilvl w:val="0"/>
          <w:numId w:val="2"/>
        </w:numPr>
        <w:spacing w:after="60" w:before="60" w:line="276"/>
      </w:pPr>
      <w:r>
        <w:rPr>
          <w:rFonts w:ascii="Arial" w:cs="Arial" w:eastAsia="Arial" w:hAnsi="Arial"/>
          <w:sz w:val="24"/>
          <w:szCs w:val="24"/>
        </w:rPr>
        <w:t xml:space="preserve">Não há teste de continuidade documentado entre os pontos do suposto desvio</w:t>
      </w:r>
    </w:p>
    <w:p>
      <w:pPr>
        <w:spacing w:after="120" w:before="120" w:line="276"/>
        <w:ind w:firstLine="720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Fundamento: </w:t>
      </w:r>
      <w:r>
        <w:rPr>
          <w:rFonts w:ascii="Arial" w:cs="Arial" w:eastAsia="Arial" w:hAnsi="Arial"/>
          <w:sz w:val="24"/>
          <w:szCs w:val="24"/>
        </w:rPr>
        <w:t xml:space="preserve">A expressão “cortado e não reg.” no próprio TOI é um forte indicativo de que, no momento da inspeção, não havia desvio de energia em operação. Um cabo cortado não conduz corrente. A leitura de 0,00A no alicate amperímetro convencional corrobora essa conclusão.</w:t>
      </w:r>
    </w:p>
    <w:p>
      <w:r>
        <w:br w:type="page"/>
      </w:r>
    </w:p>
    <w:p>
      <w:pPr>
        <w:pStyle w:val="Heading2"/>
        <w:spacing w:after="200" w:before="36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4.5. Ligação Invertida (Código 310) — Responsabilidade da Distribuidora</w:t>
      </w:r>
    </w:p>
    <w:p>
      <w:pPr>
        <w:spacing w:after="120" w:before="120" w:line="276"/>
        <w:ind w:firstLine="720"/>
        <w:jc w:val="both"/>
      </w:pPr>
      <w:r>
        <w:rPr>
          <w:rFonts w:ascii="Arial" w:cs="Arial" w:eastAsia="Arial" w:hAnsi="Arial"/>
          <w:sz w:val="24"/>
          <w:szCs w:val="24"/>
        </w:rPr>
        <w:t xml:space="preserve">O código 310 registra “ligação invertida da saída com entrada”. Esta irregularidade refere-se à inversão dos cabos de entrada e saída no medidor, fazendo com que o registro funcione de forma retroativa ou não registre corretamente o consumo.</w:t>
      </w:r>
    </w:p>
    <w:p>
      <w:pPr>
        <w:spacing w:after="120" w:before="120" w:line="276"/>
        <w:ind w:firstLine="720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Análise: </w:t>
      </w:r>
      <w:r>
        <w:rPr>
          <w:rFonts w:ascii="Arial" w:cs="Arial" w:eastAsia="Arial" w:hAnsi="Arial"/>
          <w:sz w:val="24"/>
          <w:szCs w:val="24"/>
        </w:rPr>
        <w:t xml:space="preserve">A ligação do medidor ao padrão de entrada é, historicamente, executada pela própria distribuidora ou sob sua supervisão direta. A inversão de fase entrada/saída pode ter origem em erro da própria CPFL quando da instalação ou substituição anterior do medidor. Não há, no TOI, qualquer investigação sobre quando e por quem a ligação foi realizada.</w:t>
      </w:r>
    </w:p>
    <w:p>
      <w:pPr>
        <w:spacing w:after="120" w:before="120" w:line="276"/>
        <w:ind w:firstLine="720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Jurisprudência: </w:t>
      </w:r>
      <w:r>
        <w:rPr>
          <w:rFonts w:ascii="Arial" w:cs="Arial" w:eastAsia="Arial" w:hAnsi="Arial"/>
          <w:sz w:val="24"/>
          <w:szCs w:val="24"/>
        </w:rPr>
        <w:t xml:space="preserve">Os tribunais têm entendido que irregularidades na ligação do medidor não podem ser automaticamente atribuídas ao consumidor quando não há prova de que ele tenha manipulado o equipamento.</w:t>
      </w:r>
    </w:p>
    <w:p>
      <w:pPr>
        <w:pStyle w:val="Heading2"/>
        <w:spacing w:after="200" w:before="36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4.6. Ausência de Lacres (Códigos 206 e 235) — Responsabilidade Compartilhada</w:t>
      </w:r>
    </w:p>
    <w:p>
      <w:pPr>
        <w:spacing w:after="120" w:before="120" w:line="276"/>
        <w:ind w:firstLine="720"/>
        <w:jc w:val="both"/>
      </w:pPr>
      <w:r>
        <w:rPr>
          <w:rFonts w:ascii="Arial" w:cs="Arial" w:eastAsia="Arial" w:hAnsi="Arial"/>
          <w:sz w:val="24"/>
          <w:szCs w:val="24"/>
        </w:rPr>
        <w:t xml:space="preserve">Os códigos 206 (caixa sem lacres) e 235 (tampa de borne sem lacres) indicam que o sistema de medição estava sem selos de segurança.</w:t>
      </w:r>
    </w:p>
    <w:p>
      <w:pPr>
        <w:spacing w:after="120" w:before="120" w:line="276"/>
        <w:ind w:firstLine="720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Análise: </w:t>
      </w:r>
      <w:r>
        <w:rPr>
          <w:rFonts w:ascii="Arial" w:cs="Arial" w:eastAsia="Arial" w:hAnsi="Arial"/>
          <w:sz w:val="24"/>
          <w:szCs w:val="24"/>
        </w:rPr>
        <w:t xml:space="preserve">A colocação e manutenção dos lacres é responsabilidade da distribuidora. A ausência de lacres pode decorrer de serviço anterior da própria CPFL (substituição de medidor, manutenção, inspeção anterior) em que os lacres não foram repostos. O TOI não investiga o histórico de serviços realizados pela distribuidora naquela unidade consumidora, nem demonstra que os lacres foram rompidos pelo consumidor.</w:t>
      </w:r>
    </w:p>
    <w:p>
      <w:pPr>
        <w:pStyle w:val="Heading2"/>
        <w:spacing w:after="200" w:before="36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4.7. Não Oferta do Direito à Perícia Técnica</w:t>
      </w:r>
    </w:p>
    <w:p>
      <w:pPr>
        <w:spacing w:after="120" w:before="120" w:line="276"/>
        <w:ind w:firstLine="720"/>
        <w:jc w:val="both"/>
      </w:pPr>
      <w:r>
        <w:rPr>
          <w:rFonts w:ascii="Arial" w:cs="Arial" w:eastAsia="Arial" w:hAnsi="Arial"/>
          <w:sz w:val="24"/>
          <w:szCs w:val="24"/>
        </w:rPr>
        <w:t xml:space="preserve">O campo 10 do TOI registra que o consumidor “NÃO” solicitou perícia técnica. Entretanto, não há no documento qualquer evidência de que o direito à perícia tenha sido adequadamente informado e ofertado ao consumidor no momento da inspeção.</w:t>
      </w:r>
    </w:p>
    <w:p>
      <w:pPr>
        <w:spacing w:after="120" w:before="120" w:line="276"/>
        <w:ind w:firstLine="720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Fundamento: </w:t>
      </w:r>
      <w:r>
        <w:rPr>
          <w:rFonts w:ascii="Arial" w:cs="Arial" w:eastAsia="Arial" w:hAnsi="Arial"/>
          <w:sz w:val="24"/>
          <w:szCs w:val="24"/>
        </w:rPr>
        <w:t xml:space="preserve">A Resolução ANEEL 1.000/2021 garante ao consumidor o direito de solicitar perícia técnica independente. A simples marcação “NÃO” no campo, sem comprovação de que o consumidor foi devidamente cientificado desse direito e de suas implicações, configura cerceamento de defesa.</w:t>
      </w:r>
    </w:p>
    <w:p>
      <w:pPr>
        <w:spacing w:after="120" w:before="120" w:line="276"/>
        <w:ind w:firstLine="720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Agravante: </w:t>
      </w:r>
      <w:r>
        <w:rPr>
          <w:rFonts w:ascii="Arial" w:cs="Arial" w:eastAsia="Arial" w:hAnsi="Arial"/>
          <w:sz w:val="24"/>
          <w:szCs w:val="24"/>
        </w:rPr>
        <w:t xml:space="preserve">O medidor foi substituído no ato (campo 8 marcado com X para “Medidor kWh”), sem que o consumidor pudesse exercer plenamente seu direito de solicitar verificação por órgão metrológico independente antes da substituição.</w:t>
      </w:r>
    </w:p>
    <w:p>
      <w:pPr>
        <w:pStyle w:val="Heading2"/>
        <w:spacing w:after="200" w:before="36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4.8. Identificação do Acompanhante — “Parente do Proprietário”</w:t>
      </w:r>
    </w:p>
    <w:p>
      <w:pPr>
        <w:spacing w:after="120" w:before="120" w:line="276"/>
        <w:ind w:firstLine="720"/>
        <w:jc w:val="both"/>
      </w:pPr>
      <w:r>
        <w:rPr>
          <w:rFonts w:ascii="Arial" w:cs="Arial" w:eastAsia="Arial" w:hAnsi="Arial"/>
          <w:sz w:val="24"/>
          <w:szCs w:val="24"/>
        </w:rPr>
        <w:t xml:space="preserve">O TOI identifica que quem acompanhou a inspeção foi “Junior”, qualificado como “parente do proprietário”. O campo de observações, onde deveria ser especificado o grau de parentesco (conforme exigência do próprio formulário), está em branco.</w:t>
      </w:r>
    </w:p>
    <w:p>
      <w:pPr>
        <w:spacing w:after="120" w:before="120" w:line="276"/>
        <w:ind w:firstLine="720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Análise: </w:t>
      </w:r>
      <w:r>
        <w:rPr>
          <w:rFonts w:ascii="Arial" w:cs="Arial" w:eastAsia="Arial" w:hAnsi="Arial"/>
          <w:sz w:val="24"/>
          <w:szCs w:val="24"/>
        </w:rPr>
        <w:t xml:space="preserve">A titular da UC é Viviane dos Santos Penninck. O acompanhante não é o titular nem cônjuge, e não apresentou procuração. A inspeção deveria ter sido realizada preferencialmente na presença do titular ou representante legal devidamente constituído. A falta de especificação do grau de parentesco, exigida pelo próprio formulário, constitui mais uma falha formal.</w:t>
      </w:r>
    </w:p>
    <w:p>
      <w:pPr>
        <w:pStyle w:val="Heading2"/>
        <w:spacing w:after="200" w:before="36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4.9. Suspensão do Fornecimento e Normalização no Ato</w:t>
      </w:r>
    </w:p>
    <w:p>
      <w:pPr>
        <w:spacing w:after="120" w:before="120" w:line="276"/>
        <w:ind w:firstLine="720"/>
        <w:jc w:val="both"/>
      </w:pPr>
      <w:r>
        <w:rPr>
          <w:rFonts w:ascii="Arial" w:cs="Arial" w:eastAsia="Arial" w:hAnsi="Arial"/>
          <w:sz w:val="24"/>
          <w:szCs w:val="24"/>
        </w:rPr>
        <w:t xml:space="preserve">O TOI indica que o fornecimento NÃO foi suspenso (campo 12 = NÃO) e que a UC foi normalizada no ato (campo 14 = SIM). As observações informam que é “necessário a substituição do poste e ou apenas da bengala de entrada pois apresenta danos aparente após o desvio embutido alvenaria”.</w:t>
      </w:r>
    </w:p>
    <w:p>
      <w:pPr>
        <w:spacing w:after="120" w:before="120" w:line="276"/>
        <w:ind w:firstLine="720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Análise: </w:t>
      </w:r>
      <w:r>
        <w:rPr>
          <w:rFonts w:ascii="Arial" w:cs="Arial" w:eastAsia="Arial" w:hAnsi="Arial"/>
          <w:sz w:val="24"/>
          <w:szCs w:val="24"/>
        </w:rPr>
        <w:t xml:space="preserve">Há uma contradição: se a UC foi “normalizada” no ato e o fornecimento não foi suspenso, como pode haver simultaneamente um desvio ativo que justifique cobrança retroativa? A “normalização” sugere que a situação encontrada era de natureza estrutural/construtiva e não de fraude ativa.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5. FUNDAMENTAÇÃO JURÍDICA PARA ANULAÇÃO</w:t>
      </w:r>
    </w:p>
    <w:p>
      <w:pPr>
        <w:pStyle w:val="Heading2"/>
        <w:spacing w:after="200" w:before="36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5.1. Resolução Normativa ANEEL nº 1.000/2021</w:t>
      </w:r>
    </w:p>
    <w:p>
      <w:pPr>
        <w:spacing w:after="120" w:before="120" w:line="276"/>
        <w:ind w:firstLine="720"/>
        <w:jc w:val="both"/>
      </w:pPr>
      <w:r>
        <w:rPr>
          <w:rFonts w:ascii="Arial" w:cs="Arial" w:eastAsia="Arial" w:hAnsi="Arial"/>
          <w:sz w:val="24"/>
          <w:szCs w:val="24"/>
        </w:rPr>
        <w:t xml:space="preserve">A Resolução 1.000/2021 estabelece procedimentos rigorosos para a inspeção de medição e lavratura do TOI. O art. 238 prevê o direito de o consumidor acompanhar a inspeção. Os artigos 591 e seguintes determinam que o TOI deve ser instruído com elementos probatórios suficientes, incluindo:</w:t>
      </w:r>
    </w:p>
    <w:p>
      <w:pPr>
        <w:pStyle w:val="ListParagraph"/>
        <w:numPr>
          <w:ilvl w:val="0"/>
          <w:numId w:val="2"/>
        </w:numPr>
        <w:spacing w:after="60" w:before="60" w:line="276"/>
      </w:pPr>
      <w:r>
        <w:rPr>
          <w:rFonts w:ascii="Arial" w:cs="Arial" w:eastAsia="Arial" w:hAnsi="Arial"/>
          <w:sz w:val="24"/>
          <w:szCs w:val="24"/>
        </w:rPr>
        <w:t xml:space="preserve">Identificação completa dos equipamentos de medição</w:t>
      </w:r>
    </w:p>
    <w:p>
      <w:pPr>
        <w:pStyle w:val="ListParagraph"/>
        <w:numPr>
          <w:ilvl w:val="0"/>
          <w:numId w:val="2"/>
        </w:numPr>
        <w:spacing w:after="60" w:before="60" w:line="276"/>
      </w:pPr>
      <w:r>
        <w:rPr>
          <w:rFonts w:ascii="Arial" w:cs="Arial" w:eastAsia="Arial" w:hAnsi="Arial"/>
          <w:sz w:val="24"/>
          <w:szCs w:val="24"/>
        </w:rPr>
        <w:t xml:space="preserve">Levantamento de carga instalada</w:t>
      </w:r>
    </w:p>
    <w:p>
      <w:pPr>
        <w:pStyle w:val="ListParagraph"/>
        <w:numPr>
          <w:ilvl w:val="0"/>
          <w:numId w:val="2"/>
        </w:numPr>
        <w:spacing w:after="60" w:before="60" w:line="276"/>
      </w:pPr>
      <w:r>
        <w:rPr>
          <w:rFonts w:ascii="Arial" w:cs="Arial" w:eastAsia="Arial" w:hAnsi="Arial"/>
          <w:sz w:val="24"/>
          <w:szCs w:val="24"/>
        </w:rPr>
        <w:t xml:space="preserve">Documentação fotográfica adequada que comprove a irregularidade</w:t>
      </w:r>
    </w:p>
    <w:p>
      <w:pPr>
        <w:pStyle w:val="ListParagraph"/>
        <w:numPr>
          <w:ilvl w:val="0"/>
          <w:numId w:val="2"/>
        </w:numPr>
        <w:spacing w:after="60" w:before="60" w:line="276"/>
      </w:pPr>
      <w:r>
        <w:rPr>
          <w:rFonts w:ascii="Arial" w:cs="Arial" w:eastAsia="Arial" w:hAnsi="Arial"/>
          <w:sz w:val="24"/>
          <w:szCs w:val="24"/>
        </w:rPr>
        <w:t xml:space="preserve">Oferta do direito à perícia técnica</w:t>
      </w:r>
    </w:p>
    <w:p>
      <w:pPr>
        <w:pStyle w:val="ListParagraph"/>
        <w:numPr>
          <w:ilvl w:val="0"/>
          <w:numId w:val="2"/>
        </w:numPr>
        <w:spacing w:after="60" w:before="60" w:line="276"/>
      </w:pPr>
      <w:r>
        <w:rPr>
          <w:rFonts w:ascii="Arial" w:cs="Arial" w:eastAsia="Arial" w:hAnsi="Arial"/>
          <w:sz w:val="24"/>
          <w:szCs w:val="24"/>
        </w:rPr>
        <w:t xml:space="preserve">Garantia do contraditório e ampla defesa</w:t>
      </w:r>
    </w:p>
    <w:p>
      <w:pPr>
        <w:spacing w:after="120" w:before="120" w:line="276"/>
        <w:ind w:firstLine="720"/>
        <w:jc w:val="both"/>
      </w:pPr>
      <w:r>
        <w:rPr>
          <w:rFonts w:ascii="Arial" w:cs="Arial" w:eastAsia="Arial" w:hAnsi="Arial"/>
          <w:sz w:val="24"/>
          <w:szCs w:val="24"/>
        </w:rPr>
        <w:t xml:space="preserve">O descumprimento desses requisitos gera nulidade do ato administrativo.</w:t>
      </w:r>
    </w:p>
    <w:p>
      <w:pPr>
        <w:pStyle w:val="Heading2"/>
        <w:spacing w:after="200" w:before="36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5.2. Jurisprudência do STJ (REsp 1605703/SP)</w:t>
      </w:r>
    </w:p>
    <w:p>
      <w:pPr>
        <w:spacing w:after="120" w:before="120" w:line="276"/>
        <w:ind w:firstLine="720"/>
        <w:jc w:val="both"/>
      </w:pPr>
      <w:r>
        <w:rPr>
          <w:rFonts w:ascii="Arial" w:cs="Arial" w:eastAsia="Arial" w:hAnsi="Arial"/>
          <w:sz w:val="24"/>
          <w:szCs w:val="24"/>
        </w:rPr>
        <w:t xml:space="preserve">O Superior Tribunal de Justiça firmou entendimento, no Recurso Especial 1605703/SP, de que o TOI emitido unilateralmente pela concessionária, sem garantia de contraditório e ampla defesa ao consumidor, é inválido e deve ser anulado. O ônus da prova da fraude é da distribuidora, não do consumidor.</w:t>
      </w:r>
    </w:p>
    <w:p>
      <w:pPr>
        <w:pStyle w:val="Heading2"/>
        <w:spacing w:after="200" w:before="36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5.3. Código de Defesa do Consumidor (Lei 8.078/90)</w:t>
      </w:r>
    </w:p>
    <w:p>
      <w:pPr>
        <w:spacing w:after="120" w:before="120" w:line="276"/>
        <w:ind w:firstLine="720"/>
        <w:jc w:val="both"/>
      </w:pPr>
      <w:r>
        <w:rPr>
          <w:rFonts w:ascii="Arial" w:cs="Arial" w:eastAsia="Arial" w:hAnsi="Arial"/>
          <w:sz w:val="24"/>
          <w:szCs w:val="24"/>
        </w:rPr>
        <w:t xml:space="preserve">O art. 6º, VIII, do CDC estabelece a inversão do ônus da prova em favor do consumidor quando verossímil a alegação. A boa-fé do consumidor é presumida; a má-fé deve ser provada pela distribuidora. A cobrança com base em TOI deficiente configura prática abusiva nos termos do art. 39 do CDC.</w:t>
      </w:r>
    </w:p>
    <w:p>
      <w:pPr>
        <w:pStyle w:val="Heading2"/>
        <w:spacing w:after="200" w:before="36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5.4. Constituição Federal</w:t>
      </w:r>
    </w:p>
    <w:p>
      <w:pPr>
        <w:spacing w:after="120" w:before="120" w:line="276"/>
        <w:ind w:firstLine="720"/>
        <w:jc w:val="both"/>
      </w:pPr>
      <w:r>
        <w:rPr>
          <w:rFonts w:ascii="Arial" w:cs="Arial" w:eastAsia="Arial" w:hAnsi="Arial"/>
          <w:sz w:val="24"/>
          <w:szCs w:val="24"/>
        </w:rPr>
        <w:t xml:space="preserve">O art. 5º, LV, da CF garante o contraditório e a ampla defesa em processos administrativos. A lavratura de TOI com falhas procedimentais que cerceiam a defesa do consumidor viola garantia constitucional.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6. SÍNTESE DAS IRREGULARIDADES DO TOI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600"/>
        <w:gridCol w:w="2400"/>
        <w:gridCol w:w="2472"/>
      </w:tblGrid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Nº</w:t>
            </w:r>
          </w:p>
        </w:tc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Irregularidade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247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Consequência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Levantamento de carga em branco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Formal/Técnica</w:t>
            </w:r>
          </w:p>
        </w:tc>
        <w:tc>
          <w:tcPr>
            <w:tcW w:type="dxa" w:w="247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Nulidade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Dados do medidor incompletos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Formal</w:t>
            </w:r>
          </w:p>
        </w:tc>
        <w:tc>
          <w:tcPr>
            <w:tcW w:type="dxa" w:w="247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Nulidade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Medições incoerentes (90A em residência)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Técnica</w:t>
            </w:r>
          </w:p>
        </w:tc>
        <w:tc>
          <w:tcPr>
            <w:tcW w:type="dxa" w:w="247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Questionamento da prova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Desvio “cortado” = sem consumo desviado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Técnica</w:t>
            </w:r>
          </w:p>
        </w:tc>
        <w:tc>
          <w:tcPr>
            <w:tcW w:type="dxa" w:w="247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Ausência de prejuízo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Ligação invertida pode ser erro da CPFL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Técnica</w:t>
            </w:r>
          </w:p>
        </w:tc>
        <w:tc>
          <w:tcPr>
            <w:tcW w:type="dxa" w:w="247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Excludente de responsabilidade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6</w:t>
            </w:r>
          </w:p>
        </w:tc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Lacres: responsabilidade da distribuidora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Técnica/Formal</w:t>
            </w:r>
          </w:p>
        </w:tc>
        <w:tc>
          <w:tcPr>
            <w:tcW w:type="dxa" w:w="247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Excludente de responsabilidade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7</w:t>
            </w:r>
          </w:p>
        </w:tc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Direito à perícia não ofertado adequadamente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Procedimental</w:t>
            </w:r>
          </w:p>
        </w:tc>
        <w:tc>
          <w:tcPr>
            <w:tcW w:type="dxa" w:w="247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Cerceamento de defesa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8</w:t>
            </w:r>
          </w:p>
        </w:tc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Acompanhante sem qualificação completa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Formal</w:t>
            </w:r>
          </w:p>
        </w:tc>
        <w:tc>
          <w:tcPr>
            <w:tcW w:type="dxa" w:w="247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Vício formal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9</w:t>
            </w:r>
          </w:p>
        </w:tc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Contradição: normalizado + desvio ativo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Lógica</w:t>
            </w:r>
          </w:p>
        </w:tc>
        <w:tc>
          <w:tcPr>
            <w:tcW w:type="dxa" w:w="247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Questionamento da tese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7. CONCLUSÃO E RECOMENDAÇÕES</w:t>
      </w:r>
    </w:p>
    <w:p>
      <w:pPr>
        <w:spacing w:after="120" w:before="120" w:line="276"/>
        <w:ind w:firstLine="720"/>
        <w:jc w:val="both"/>
      </w:pPr>
      <w:r>
        <w:rPr>
          <w:rFonts w:ascii="Arial" w:cs="Arial" w:eastAsia="Arial" w:hAnsi="Arial"/>
          <w:sz w:val="24"/>
          <w:szCs w:val="24"/>
        </w:rPr>
        <w:t xml:space="preserve">Com base na análise técnica detalhada dos documentos, fotografias e regulamentação aplicável, conclui-se que o TOI nº 7023163084, lavrado em 24/03/2026 pela CPFL Piratininga, apresenta múltiplas irregularidades procedimentais, técnicas e formais que comprometem sua validade como instrumento probatório.</w:t>
      </w:r>
    </w:p>
    <w:p>
      <w:pPr>
        <w:spacing w:after="120" w:before="120" w:line="276"/>
        <w:ind w:firstLine="720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As principais conclusões são:</w:t>
      </w:r>
    </w:p>
    <w:p>
      <w:pPr>
        <w:pStyle w:val="ListParagraph"/>
        <w:numPr>
          <w:ilvl w:val="0"/>
          <w:numId w:val="3"/>
        </w:numPr>
        <w:spacing w:after="80" w:before="80" w:line="276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O desvio estava cortado/desativado </w:t>
      </w:r>
      <w:r>
        <w:rPr>
          <w:rFonts w:ascii="Arial" w:cs="Arial" w:eastAsia="Arial" w:hAnsi="Arial"/>
          <w:sz w:val="24"/>
          <w:szCs w:val="24"/>
        </w:rPr>
        <w:t xml:space="preserve">no momento da inspeção, conforme registrado no próprio TOI (“cortado e não reg.”) e confirmado pela medição de 0,00A no alicate amperímetro convencional. Não havia consumo sendo desviado.</w:t>
      </w:r>
    </w:p>
    <w:p>
      <w:pPr>
        <w:pStyle w:val="ListParagraph"/>
        <w:numPr>
          <w:ilvl w:val="0"/>
          <w:numId w:val="3"/>
        </w:numPr>
        <w:spacing w:after="80" w:before="80" w:line="276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As medições com Ampstik são incoerentes </w:t>
      </w:r>
      <w:r>
        <w:rPr>
          <w:rFonts w:ascii="Arial" w:cs="Arial" w:eastAsia="Arial" w:hAnsi="Arial"/>
          <w:sz w:val="24"/>
          <w:szCs w:val="24"/>
        </w:rPr>
        <w:t xml:space="preserve">para uma residência monofásica (90,6A e 82,0A equivalem a quase 20kW), sugerindo medição na rede geral e não no ramal individual.</w:t>
      </w:r>
    </w:p>
    <w:p>
      <w:pPr>
        <w:pStyle w:val="ListParagraph"/>
        <w:numPr>
          <w:ilvl w:val="0"/>
          <w:numId w:val="3"/>
        </w:numPr>
        <w:spacing w:after="80" w:before="80" w:line="276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O levantamento de carga está em branco, </w:t>
      </w:r>
      <w:r>
        <w:rPr>
          <w:rFonts w:ascii="Arial" w:cs="Arial" w:eastAsia="Arial" w:hAnsi="Arial"/>
          <w:sz w:val="24"/>
          <w:szCs w:val="24"/>
        </w:rPr>
        <w:t xml:space="preserve">impossibilitando qualquer cálculo de diferença de faturamento.</w:t>
      </w:r>
    </w:p>
    <w:p>
      <w:pPr>
        <w:pStyle w:val="ListParagraph"/>
        <w:numPr>
          <w:ilvl w:val="0"/>
          <w:numId w:val="3"/>
        </w:numPr>
        <w:spacing w:after="80" w:before="80" w:line="276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 ligação invertida e a falta de lacres </w:t>
      </w:r>
      <w:r>
        <w:rPr>
          <w:rFonts w:ascii="Arial" w:cs="Arial" w:eastAsia="Arial" w:hAnsi="Arial"/>
          <w:sz w:val="24"/>
          <w:szCs w:val="24"/>
        </w:rPr>
        <w:t xml:space="preserve">podem ser de responsabilidade da própria distribuidora, não havendo investigação sobre a origem dessas irregularidades.</w:t>
      </w:r>
    </w:p>
    <w:p>
      <w:pPr>
        <w:pStyle w:val="ListParagraph"/>
        <w:numPr>
          <w:ilvl w:val="0"/>
          <w:numId w:val="3"/>
        </w:numPr>
        <w:spacing w:after="80" w:before="80" w:line="276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O direito à perícia não foi adequadamente ofertado, </w:t>
      </w:r>
      <w:r>
        <w:rPr>
          <w:rFonts w:ascii="Arial" w:cs="Arial" w:eastAsia="Arial" w:hAnsi="Arial"/>
          <w:sz w:val="24"/>
          <w:szCs w:val="24"/>
        </w:rPr>
        <w:t xml:space="preserve">configurando cerceamento de defesa.</w:t>
      </w:r>
    </w:p>
    <w:p>
      <w:pPr>
        <w:spacing w:after="120" w:before="200" w:line="276"/>
        <w:jc w:val="both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20" w:before="120" w:line="276"/>
        <w:jc w:val="both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RECOMENDAÇÕES:</w:t>
      </w:r>
    </w:p>
    <w:p>
      <w:pPr>
        <w:pStyle w:val="ListParagraph"/>
        <w:numPr>
          <w:ilvl w:val="0"/>
          <w:numId w:val="4"/>
        </w:numPr>
        <w:spacing w:after="80" w:before="80" w:line="276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Impugnação administrativa do TOI </w:t>
      </w:r>
      <w:r>
        <w:rPr>
          <w:rFonts w:ascii="Arial" w:cs="Arial" w:eastAsia="Arial" w:hAnsi="Arial"/>
          <w:sz w:val="24"/>
          <w:szCs w:val="24"/>
        </w:rPr>
        <w:t xml:space="preserve">junto à CPFL, requerendo sua anulação com base nas falhas acima identificadas, com fundamento na Resolução ANEEL 1.000/2021.</w:t>
      </w:r>
    </w:p>
    <w:p>
      <w:pPr>
        <w:pStyle w:val="ListParagraph"/>
        <w:numPr>
          <w:ilvl w:val="0"/>
          <w:numId w:val="4"/>
        </w:numPr>
        <w:spacing w:after="80" w:before="80" w:line="276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Solicitar perícia técnica independente </w:t>
      </w:r>
      <w:r>
        <w:rPr>
          <w:rFonts w:ascii="Arial" w:cs="Arial" w:eastAsia="Arial" w:hAnsi="Arial"/>
          <w:sz w:val="24"/>
          <w:szCs w:val="24"/>
        </w:rPr>
        <w:t xml:space="preserve">no medidor substituído, caso ainda esteja em custódia da distribuidora, para verificar se houve efetiva violação.</w:t>
      </w:r>
    </w:p>
    <w:p>
      <w:pPr>
        <w:pStyle w:val="ListParagraph"/>
        <w:numPr>
          <w:ilvl w:val="0"/>
          <w:numId w:val="4"/>
        </w:numPr>
        <w:spacing w:after="80" w:before="80" w:line="276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Requerer o histórico de consumo </w:t>
      </w:r>
      <w:r>
        <w:rPr>
          <w:rFonts w:ascii="Arial" w:cs="Arial" w:eastAsia="Arial" w:hAnsi="Arial"/>
          <w:sz w:val="24"/>
          <w:szCs w:val="24"/>
        </w:rPr>
        <w:t xml:space="preserve">da unidade consumidora para demonstrar que não houve alteração significativa no padrão de consumo após a inspeção (prova típica de ausência de desvio).</w:t>
      </w:r>
    </w:p>
    <w:p>
      <w:pPr>
        <w:pStyle w:val="ListParagraph"/>
        <w:numPr>
          <w:ilvl w:val="0"/>
          <w:numId w:val="4"/>
        </w:numPr>
        <w:spacing w:after="80" w:before="80" w:line="276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Em caso de cobrança indevida, </w:t>
      </w:r>
      <w:r>
        <w:rPr>
          <w:rFonts w:ascii="Arial" w:cs="Arial" w:eastAsia="Arial" w:hAnsi="Arial"/>
          <w:sz w:val="24"/>
          <w:szCs w:val="24"/>
        </w:rPr>
        <w:t xml:space="preserve">ingressar com ação declaratória de inexistência de débito c/c indenização por danos morais, com pedido de tutela antecipada para impedir corte de energia e negativação do nome.</w:t>
      </w:r>
    </w:p>
    <w:p>
      <w:pPr>
        <w:pStyle w:val="ListParagraph"/>
        <w:numPr>
          <w:ilvl w:val="0"/>
          <w:numId w:val="4"/>
        </w:numPr>
        <w:spacing w:after="80" w:before="80" w:line="276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Registrar reclamação na ANEEL </w:t>
      </w:r>
      <w:r>
        <w:rPr>
          <w:rFonts w:ascii="Arial" w:cs="Arial" w:eastAsia="Arial" w:hAnsi="Arial"/>
          <w:sz w:val="24"/>
          <w:szCs w:val="24"/>
        </w:rPr>
        <w:t xml:space="preserve">(Ouvidoria) e no PROCON, documentando todas as falhas procedimentais.</w:t>
      </w:r>
    </w:p>
    <w:p>
      <w:pPr>
        <w:spacing w:after="120" w:before="400" w:line="276"/>
        <w:jc w:val="both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Bdr>
          <w:top w:val="single" w:color="1B3A5C" w:sz="4" w:space="8"/>
        </w:pBdr>
        <w:spacing w:before="600"/>
        <w:jc w:val="center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Este é o parecer.</w:t>
      </w:r>
    </w:p>
    <w:p>
      <w:pPr>
        <w:spacing w:before="200"/>
        <w:jc w:val="center"/>
      </w:pPr>
      <w:r>
        <w:rPr>
          <w:rFonts w:ascii="Arial" w:cs="Arial" w:eastAsia="Arial" w:hAnsi="Arial"/>
          <w:sz w:val="24"/>
          <w:szCs w:val="24"/>
        </w:rPr>
        <w:t xml:space="preserve">Aracariguama/SP, 26 de março de 2026.</w:t>
      </w:r>
    </w:p>
    <w:p>
      <w:pPr>
        <w:spacing w:before="800"/>
      </w:pPr>
    </w:p>
    <w:p>
      <w:pPr>
        <w:pBdr>
          <w:top w:val="single" w:color="333333" w:sz="2" w:space="4"/>
        </w:pBdr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Perito Técnico em Energia Elétrica</w:t>
      </w:r>
    </w:p>
    <w:p>
      <w:pPr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Parecer elaborado com base em análise documental e fotográfica</w:t>
      </w:r>
    </w:p>
    <w:sectPr>
      <w:headerReference w:type="default" r:id="rId7"/>
      <w:footerReference w:type="default" r:id="rId8"/>
      <w:pgSz w:w="11906" w:h="16838" w:orient="portrait"/>
      <w:pgMar w:top="1701" w:right="1134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jc w:val="center"/>
    </w:pP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Documento de uso exclusivo para fins de defesa administrativa e/ou judicial</w:t>
    </w:r>
  </w:p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Página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6" w:space="4"/>
      </w:pBdr>
      <w:spacing w:after="120"/>
      <w:jc w:val="center"/>
    </w:pPr>
    <w:r>
      <w:rPr>
        <w:rFonts w:ascii="Arial" w:cs="Arial" w:eastAsia="Arial" w:hAnsi="Arial"/>
        <w:b/>
        <w:bCs/>
        <w:color w:val="1B3A5C"/>
        <w:sz w:val="20"/>
        <w:szCs w:val="20"/>
      </w:rPr>
      <w:t xml:space="preserve">PARECER TÉCNICO PERICIAL</w:t>
    </w:r>
    <w:r>
      <w:rPr>
        <w:rFonts w:ascii="Arial" w:cs="Arial" w:eastAsia="Arial" w:hAnsi="Arial"/>
        <w:color w:val="999999"/>
        <w:sz w:val="20"/>
        <w:szCs w:val="20"/>
      </w:rPr>
      <w:t xml:space="preserve">  |  </w:t>
    </w:r>
    <w:r>
      <w:rPr>
        <w:rFonts w:ascii="Arial" w:cs="Arial" w:eastAsia="Arial" w:hAnsi="Arial"/>
        <w:color w:val="666666"/>
        <w:sz w:val="20"/>
        <w:szCs w:val="20"/>
      </w:rPr>
      <w:t xml:space="preserve">Inspeção CPFL — TOI 7023163084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lowerRoman"/>
      <w:lvlText w:val="%1)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3A5C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1B3A5C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2026-03-26T16:37:09.582Z</dcterms:created>
  <dcterms:modified xsi:type="dcterms:W3CDTF">2026-03-26T16:37:09.582Z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