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CROMA PRINT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Análise de Mercado e Concorrência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Setor de Comunicação Visual no Brasil</w:t>
      </w:r>
    </w:p>
    <w:p>
      <w:pPr>
        <w:spacing w:after="120"/>
        <w:jc w:val="center"/>
      </w:pPr>
      <w:r>
        <w:rPr>
          <w:rFonts w:ascii="Arial" w:cs="Arial" w:eastAsia="Arial" w:hAnsi="Arial"/>
          <w:color w:val="2E8B57"/>
          <w:sz w:val="24"/>
          <w:szCs w:val="24"/>
        </w:rPr>
        <w:t xml:space="preserve">Estratégia de Transformação por Inteligência Artificial</w:t>
      </w:r>
    </w:p>
    <w:p>
      <w:pPr>
        <w:spacing w:before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 – Uso Interno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RESUMO EXECUTIVO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Este documento apresenta uma análise aprofundada do setor de comunicação visual no Brasil, abrangendo o panorama de mercado (2024–2026), o cenário competitivo, o estado atual da adoção de inteligência artificial no setor gráfico e benchmarks internacionais de empresas geridas por IA. O objetivo é fundamentar a estratégia da Croma Print para se tornar a primeira empresa de comunicação visual no Brasil operada majoritariamente por inteligência artificial.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mercado brasileiro de impressão comercial movimenta USD 17,5 bilhões (2024), com o segmento de sinalização digital crescendo a 8,8% ao ano. A adoção de IA no setor gráfico global saltou de 24,7% para 40% entre setembro/2023 e março/2024, mas nenhuma empresa de comunicação visual no Brasil se posiciona como AI-first. Esta janela de oportunidade é o fundamento da estratégia proposta.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PANORAMA DO MERCADO DE COMUNICAÇÃO VISUAL NO BRASIL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Tamanho do Mercado e Crescimento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setor gráfico brasileiro faturou R$ 110 bilhões em 2023, com crescimento estimado de 5% em 2024, atingindo aproximadamente R$ 115 bilhões (ABIGRAF). O mercado de impressão comercial no Brasil foi avaliado em USD 17,53 bilhões em 2024 e deve alcançar USD 21,75 bilhões até 2030, com CAGR de 3,64% (Mordor Intelligence). Globalmente, o mercado de serviços de comunicação visual deve atingir USD 6,7 bilhões até 2031.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 entanto, a produção gráfica brasileira ainda está 18,8% abaixo dos níveis pré-pandemia (2019), indicando espaço significativo para recuperação. O setor é composto por 15.691 empresas, gerando 175.509 empregos diretos, com 79,7% sendo microempresas.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Dados-Chave do Mercado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400"/>
        <w:gridCol w:w="12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(2024)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Projeção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Impressão Comercial (Brasil)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17,53 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21,75 bi (2030)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3,64%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Sinalização Digital (Brasil)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464 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766,5 mi (2030)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Print-on-Demand (Brasil)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1,83 bi (2033)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22,4%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Impressão Têxtil Digital (Brasil)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R$ 462,1 mi (2030)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11,4%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 Externo (Brasil)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118,4 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312,5 mi (2030)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14,9%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Adesivos (Brasil)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1,79 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2,16 bi (2028)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4,71%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Envelopamento Veicular (Global)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3,54 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15,32 bi (2033)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18,0%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Impressão Digital (Global)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33,5 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57,08 bi (2033)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6,1%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Principais Segmentos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Impressão Digital e Grande Formato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impressão digital de grande formato é o coração do setor de comunicação visual, abrangendo banners, adesivos, fachadas, painéis e envelopamentos veiculares. O segmento de impressão inkjet cresce aproximadamente 11% ao ano (2024–2029), impulsionado pela demanda por materiais de marketing, embalagens e pôsteres promocionais.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Sinalização Digital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mercado de sinalização digital no Brasil foi avaliado em USD 464 milhões em 2024 e projeta atingir USD 766,5 milhões até 2030 (CAGR 8,8%). Video walls são o maior segmento, enquanto telas LED transparentes crescem mais rapidamente. O retáil media cresceu 42,3% em 2024, com 81% das marcas planejando aumentar gastos em 2026.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Sublimação e Personalização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mercado de sublimação no Brasil cresce entre 8% e 12% ao ano, com projeção de R$ 462,1 milhões até 2030. Dados do Sebrae indicam que o mercado de produtos personalizados cresceu 35% entre 2023 e 2024. A plataforma Nexum lançou modelo de sublimação digital por assinatura, democratizando o acesso à tecnologia.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Print-on-Demand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mercado brasileiro de print-on-demand deve atingir USD 1,83 bilhão até 2033, com crescimento anual de 22,4%, liderando a América Latina. Este é um dos segmentos mais dinâmicos e alinhados com a proposta de automação da Croma Print.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Tendências Tecnológicas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Impressão UV LED: A Mimaki lançou no Brasil a série UCJV com tecnologia UV, permitindo impressões de alta qualidade com maiores volumes, menores custos e turnaround mais rápido.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Impressão Latex: Tintas que fundem por calor permitem impressão em variedade de substratos não revestidos, com menor impacto ambiental.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Corte CNC: O mercado de CNC no Brasil cresce a 6,5% CAGR, impulsionado por investimentos nos setores automotivo e de comunicação visual.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DTG (Direct-to-Garment): Crescimento explosivo em 2024–2025. Ideal para tiragens curtas, viabiliza impressão em tinta branca sobre substratos escuros.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Displays: Painéis LED externos crescem a 14,9% CAGR. Tecnologia SMT lidera em receita, enquanto LEDs transparentes são o segmento de maior crescimento.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Indústria 4.0: Integração de IA, IoT e big data analytics na otimização de operações de impressão, configuração automatizada de equipamentos.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Catalisadores de Demanda em 2026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ano de 2026 apresenta dois grandes catalisadores de demanda para o setor de comunicação visual: campanhas políticas (eleições municipais já em 2024 e desdobramentos em 2026) e a Copa do Mundo FIFA, que devem concentrar até 70% do investimento publicitário global nesse período. O Brasil projeta crescimento de 9,1% em investimentos publicitários em 2026, superando a média global de 5,1%.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ANÁLISE DE CONCORRÊNCIA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Principais Players do Mercado Brasileiro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Grandes Empresas de Comunicação Visual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Geka Comunicação Visual: 7.000 m² de instalações, ~300 funcionários. Uma das maiores da América Latina. Atende clientes como Rede Globo. Forte investimento em tecnologia e equipamentos.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Ilumidia Comunicação Visual: Classificada como a #1 empresa de comunicação visual no Brasil por faturamento (Econodata).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SPMedia, Império, VisualLab: Líderes regionais em São Paulo.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AlphaGraphics Brasil: Franquia internacional com 270+ centros globais, 35+ anos no Brasil, 500–999 funcionários. Recentemente dobrou capacidade de grande formato.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Gráficas Online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Printi: Líder em e-commerce gráfico. Um dos maiores parques gráficos do Brasil.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FuturaIM (Grupo WBL): ~450 funcionários, 1.300+ pontos de retirada, 28 anos de mercado. Segundo maior grupo gráfico do Brasil.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Atual Card: Pioneira em e-commerce gráfico nacional. ~9.000 produtos, 11.000+ pontos de retirada, serviço de 12 horas.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360imprimir: Foco em pequenas e médias empresas com múltiplos pontos de retirada.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Zap Gráfica: Modelo B2B exclusivo (atende apenas profissionais gráficos). 5.000+ produtos.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Distribuidores e Fornecedores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 Brasil (Cotia/SP): Maior distribuidora de produtos para sinalização no Brasil.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 Supply: Desde 1994, equipamentos e suprimentos com rede de revendedores nacional.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Tecnologia e Automação no Setor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maioria das empresas brasileiras de comunicação visual ainda opera com processos predominantemente manuais. As gráficas online (Printi, FuturaIM, Atual Card) lideram em automação com plataformas web-to-print e fluxos de produção parcialmente automatizados, mas nenhuma adota IA de forma extensiva em suas operações.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Fornecedores de tecnologia como Automacão RS, GroupWork e AYCA Digital oferecem soluções de automação industrial para gráficas, focando em integração de máquinas e eficiência operacional. No entanto, a integração de IA generativa, chatbots inteligentes e sistemas autônomos de gestão permanece inexplorada no mercado nacional.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IA no Setor de Sinalização Global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Globalmente, plataformas de sinalização digital estão na vanguarda da adoção de IA: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Mandoe Media: Autoproclamada plataforma #1 de sinalização digital com IA no mundo. Ferramenta AI Magic Create gera designs instantaneamente.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DISPL: IA para analytics de audiência offline. Resultados: até 30% de aumento em vendas no varejo alimentar.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BrightSign: Neural Processing Units (NPU) integradas em hardware para processamento de IA no dispositivo.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NoviSign e OptiSigns: Criação de conteúdo e inteligência de audiência com IA generativa.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Nenhuma dessas plataformas atua especificamente no segmento de produção gráfica/comunicação visual de grande formato, o que reforça a oportunidade para a Croma Print.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INTELIGÊNCIA ARTIFICIAL NO SETOR GRÁFICO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Estado Atual da Adoção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adoção de IA no setor gráfico global atingiu 40% em março de 2024, ante 24,7% em setembro de 2023 (Printing.org). Mais da metade das empresas pesquisadas exploram o impacto da IA, embora a implementação de ferramentas ainda seja limitada. As áreas com maior expansão planejada 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28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Atual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Expansão Planejada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14,8%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42,0%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16,0%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39,5%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de Clientes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11,1%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33,3%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Atendimento ao Cliente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22,2%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de Riscos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2,5%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21,0%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Aplicações Práticas de IA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Design Generativo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Ferramentas como Canva Magic Design, Adobe Firefly e MYTH AI Pattern Generator (lançado no Brasil pelo Grupo Bloom) permitem criar designs, estampas e layouts automaticamente a partir de prompts textuais. A Canva relata que 82% dos líderes empresariais já usaram ferramentas de IA para conteúdo visual, com 90% concordando que a IA generativa melhora a qualidade da comunicação visual.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Automação de Pedidos e Orçamentos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Fiery Scribe traduz solicitações de clientes em tickets de produção (job tickets) prontos para máquinas, interpretando linguagem natural de emails. PrintIQ oferece orçamentos automáticos baseados em dados históricos. PrintPLANR reduziu o tempo médio de turnaround em 30% com agendamento por IA.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Controle de Qualidade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IA analisa imagens digitais e impressos digitalizados para identificar variações de cor, desalinhamento, riscos e manchas. Canon implementou console de gerenciamento com ML treinado em milhares de dispositivos. Resultados: redução de 18% em desperdício de materiais.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Manutenção Preditiva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Sensores em tempo real monitoram níveis de toner, temperatura do fusor, vibração e horas de operação. Digital twins (réplicas virtuais) preveem problemas antes que ocorram. Resultados documentados: redução de 24% nos custos totais de manutenção e 32% menos tempo de inatividade não planejado.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Atendimento e Chatbots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Chatbots com IA (ChatGPT, BotConversa, Globalbot) automatizam geração de orçamentos, respostas a FAQs, agendamento e resolução de problemas 24/7. No Brasil, plataformas como Total Chat e Globalbot já oferecem integração com WhatsApp para gráficas.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Produção Inteligente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Heidelberg Speedmaster utiliza Color Assistant Pro (otimização automática de tinta), Hycolor Assistant (economia de até 25% em desperdício de setup) e Prinect Touch Free (roteamento automático de workflow). A visão da Heidelberg é a gráfica autônoma controlada por 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Ferramentas de IA Disponíveis para o Setor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Criativo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Magic, Adobe Firefly, Kittl, Leonardo AI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Geração de designs e layouts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Workflow/Produção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PrintPLANR, Fiery Suite, GelatoConnect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Agendamento, otimização, roteamento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Orçamentos/Gestão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PrintIQ, Fiery Scribe, PrintLogic.AI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Orçamentos automáticos, job tickets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Web-to-Print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DesignNBuy, Printbox, Pryntbase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Plataformas de e-commerce com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Marketing/Conteúdo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Jasper, Pictory, Napkin AI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Textos, vídeos, visuais para negócio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Sinalização Digital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Mandoe, NoviSign, OptiSigns, LOOK DS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Conteúdo dinâmico com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Fiery IQ, Canon iW EMC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Monitoramento e manutenção preditiva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Cases de Sucesso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Vistaprint/Vista: Lançou AI Logomaker (logos prontos para impressão a partir de prompts), usa Adobe Sensei para busca inteligente e Amazon Personalize para recomendações, alcançando 10% de aumento em conversão e 30% de redução de custos.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Shutterfly: IA para aprimoramento de imagens (nitidez, cor, brilho), remoção de objetos, AI Autofill para layouts de photobooks em segundos, e ML para recomendações em tempo real sobre bilhões de fotos armazenadas.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HP Print AI: Lançou plataforma de impressão inteligente para residêncial, escritório e grande formato, integrando IA em toda a experiência de impressão.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Konica Minolta: Determinação de layout por IA para minimização de desperdício, roteamento inteligente de jobs e impressoras com auto-monitoramento via sensores em tempo real.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OPORTUNIDADES E RISCOS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Oportunidades de Pioneirismo em Gestão por IA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análise do mercado revela uma janela de oportunidade clara para a Croma Print: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Lacuna de mercado: Nenhuma empresa de comunicação visual no Brasil (e possivelmente no mundo) opera com gestão majoritariamente por IA. O setor está fragmentado (79,7% microempresas) e tecnologicamente defasado.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Timing favorável: A adoção de IA no setor gráfico saltou de 24,7% para 40% em 6 meses, mas concentra-se em ferramentas pontuais, não em operações integradas.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Demanda crescente: Print-on-demand (22,4% CAGR) e personalização (35% de crescimento) são segmentos naturalmente compatíveis com automação por 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Catalisadores 2026: Copa do Mundo e eleições criarão picos de demanda que uma operação AI-first pode atender com escala e agilidade superiores.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Eficiência comprometida: PMEs com 91% de receitas impulsionadas por IA e 56% economizando 30% do tempo operacional demonstram que o ROI é tangivel mesmo para pequenas operações.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Riscos e Desafios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Riscos Operacionais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Falha silenciosa em escala: Sistemas de IA podem falhar de maneiras sutis que humanos não previram. Parar um sistema de IA não é simples quando agentes controlam múltiplos processos interconectados.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Qualidade de dados: Dados incompletos, desatualizados ou em silos causam erros de roteamento, falhas de conformidade e decisões incorretas.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Lacunas de controle: Dificuldade em estabelecer mecanismos de supervisão para sistemas autônomos e documentar fluxos de trabalho, exceções e limites de decisão.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Riscos de Mercado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 de implementação: 43% dos fabricantes citam custos iniciais de IA como barreira. Longos períodos de retorno podem pressionar o fluxo de caixa.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Escassez de talentos: Insuficiência de expertise interna em IA é a barreira mais citada (IBM Global AI Adoption Index 2023).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Resistência organizacional: Necessidade de transformação de processos de ponta a ponta, não apenas adoção de ferramentas.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Riscos Regulatórios e Éticos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Privacidade de dados: LGPD exige cuidados especiais com dados de clientes processados por IA.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Viés e equidade: Modelos de IA podem gerar resultados enviesados em design e atendimento.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Transparência: LLMs e agentes de IA não podem explicar decisões, o que pode ser problemático em contextos comerciais.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Barreiras de Entrada para Concorrentes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Uma vez estabelecida, a operação AI-first da Croma Print criará barreiras significativas: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Integração profunda de workflows: Integrações customizadas de API construídas ao longo de meses, pipelines de dados proprietários e processos otimizados não podem ser replicados rapidamente.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Efeitos de aprendizado: Curvas de melhoria exponenciais que se acumulam ao longo do tempo. Quanto mais dados e operações processados, melhor o sistema se torna – o mais difícil de copiar.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Adaptação contínua: IA operacional se fortalece com o uso. Concorrentes começando depois enfrentam desvantagem de dados e experiência.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Domínio específico + dados proprietários: A combinação de expertise setorial com dados únicos da operação cria um fosso competitivo que transcende as ferramentas de IA em si.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BENCHMARKS INTERNACIONAIS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Empresas Geridas por IA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Manufatura Autônoma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FANUC (Japão): Opera fábrica lights-out desde 2001, onde robôs constroem outros robôs a 50 unidades por turno de 24 horas, funcionando sem supervisão por até 30 dias. A Gartner estima que 60% dos fabricantes adotarão alguma operação lights-out até 2026.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Logística e Armazéns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Amazon: Mais de 1 milhão de robôs habilitados por IA implantados. Robôs Sequoia e Digit reduziram tempo de processamento em 75%. O sistema SCOT (Supply Chain Optimization Technology) prevê demanda analisando vendas, tendências, clima e sazonalidade. 700.000 trabalhadores requalificados em 300 instalações.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Ocado: Automação de armazém com visão computacional e aprendizado por reforço. Uma cesta de 50 itens é selecionada em menos de 5 minutos. O sistema aprende com a experiência de toda a frota e se comunica com cada robô até 10 vezes por segundo.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Manufatura Automotiva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Tesla: Manufatura modular “unboxed” reduz área em 40% e custos potenciais em 50%. ML identifica oportunidades de otimização, visão computacional detecta defeitos microscópicos. Projeto Terafab (USD 20 bilhões) para fábrica de chips de IA com integração vertical. Plano de 1 milhão de robôs humanoides Optimus por ano.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Mercado de IA Agêntica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mercado de agentes de IA foi avaliado em USD 6,8 bilhões em 2024, com crescimento de 30%+ ao ano até 2034, quando deve atingir USD 199 bilhões. 79% das organizações já relatam adoção de agentes de IA. A Gartner projeta que 15% das decisões de trabalho serão autônomas até 2028 (versus 0% em 2024).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Lições Aplicáveis à Croma 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Lição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Aplicabilidade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FANUC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Começar com uma linha de produção lights-out antes de expandir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– linha de produção de banners/adesivos simples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 SCOT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Fechar loops entre planejamento e execução em escala global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 – adaptar para previsão de demanda local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Aprendizado em frota: compartilhar aprendizados entre máquinas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– compartilhar otimizações entre equipamentos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vertical + IA para eficiência radical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 – integração design-produção-entrega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PMEs com 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91% reportam aumento de receita; foco em ferramentas low-code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– começar com ferramentas acessíveis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RECOMENDAÇÕES ESTRATÉGICAS PARA A CROMA PRINT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Visão: A Primeira Empresa de Comunicação Visual AI-First do Brasil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 base em toda a análise realizada, a Croma Print tem uma oportunidade única de se posicionar como pioneira em gestão por IA no setor de comunicação visual. O mercado está fragmentado, tecnologicamente defasado, e nenhum concorrente – nacional ou internacional – adota IA de forma integrada em operações de comunicação visual.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Pilares Estratégicos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Pilar 1: Atendimento e Vendas por IA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Implementar chatbot inteligente via WhatsApp para orçamentos automáticos, geração de pedidos e acompanhamento. Integrar com CRM para analytics de clientes e recomendações personalizadas. Potencial: reduzir tempo de resposta para segundos e operar 24/7.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Pilar 2: Design Generativo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Integrar ferramentas como Canva API, Adobe Firefly ou modelos open-source para gerar layouts, mockups e artes finais automaticamente a partir de briefings de clientes. Potencial: democratizar o acesso a design profissional e reduzir custos criativos em até 80%.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Pilar 3: Produção Inteligente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Adotar soluções como Fiery Suite e PrintPLANR para roteamento automático de jobs, otimização de nesting/imposição, controle de qualidade por visão computacional e manutenção preditiva de equipamentos. Potencial: 25% menos desperdício de setup, 32% menos downtime.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Pilar 4: Gestão e Operações Autônomas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Implementar agentes de IA para gestão de estoque, compras, logística de entrega, financeiro e RH. Usar LLMs para análise de dados, relatórios automáticos e suporte a decisões estratégicas. Potencial: PMEs com IA reportam 56% de economia de tempo e 91% de aumento de receita.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Pilar 5: Plataforma Web-to-Print com IA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Desenvolver e-commerce próprio com IA embarcada para personalização automática, pre-flight inteligente, estimativa instantânea e acompanhamento proativo de pedidos. Potencial: capturar o crescimento de print-on-demand (22,4% CAGR) com eficiência operacional superior.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Roadmap Sugerido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Ações Prioritárias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 – Fundação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Q2–Q3 2026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 WhatsApp + orçamentos automáticos; Design generativo básico; Dashboard de gestão com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 – Automação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 2026–Q1 2027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 de produção automatizado; Controle de qualidade por visão computacional; Manutenção preditiva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 – Escala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Q2–Q4 2027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Plataforma web-to-print com IA; Agentes autônomos para gestão; Expansão de capacidade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4 – Liderança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2028+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Operação majoritariamente autônoma; Licenciamento da plataforma; Expansão geográfica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Métricas de Sucesso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Tempo de resposta a clientes: de horas para segundos (meta: &lt;30 segundos via chatbot).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Desperdício de materiais: redução de 25% com otimização de nesting e pre-flight inteligente.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Downtime de equipamentos: redução de 32% com manutenção preditiva.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 operacional: redução de 30% em 18 meses.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Capacidade de atendimento: aumento de 3–5x sem proporcional aumento de headcount.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Receita por funcionário: aumento de 50% em 24 meses.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CONCLUSÃO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setor de comunicação visual no Brasil é um mercado de R$ 115 bilhões, fragmentado, com forte crescimento em segmentos digitais e de personalização, mas ainda operando com processos predominantemente manuais. A adoção de IA está acelerando globalmente, mas nenhuma empresa do setor se posiciona como AI-first.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Croma Print tem a oportunidade de criar um novo paradigma: uma empresa de comunicação visual onde a IA não é uma ferramenta, mas o sistema operacional do negócio. O timing é ideal – as ferramentas estão disponíveis, o mercado está maduro para disrupção, e os eventos de 2026 criarão um pico de demanda que recompensará quem tiver a operação mais ágil e escalável.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Os benchmarks internacionais (FANUC, Amazon, Ocado, Tesla) demonstram que operações autônomas não são ficção científica – são realidade comprovada em múltiplos setores. A questão não é SE a IA vai transformar a comunicação visual, mas QUANDO e QUEM liderará essa transformação. A Croma Print pode ser essa líder.</w:t>
      </w:r>
    </w:p>
    <w:p>
      <w:pPr>
        <w:spacing w:before="600"/>
      </w:pPr>
    </w:p>
    <w:p>
      <w:pPr>
        <w:pBdr>
          <w:top w:val="single" w:color="2E75B6" w:sz="2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Fontes: Grand View Research, Mordor Intelligence, ABIGRAF, Printing.org, McKinsey, Gartner, Deloitte, FESPA Brasil, Econodata, Kantar, Precedence Research, e demais fontes citadas ao longo do documento.</w:t>
      </w:r>
    </w:p>
    <w:p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Documento preparado para uso estratégico interno da Croma Print. Março 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Croma Print – Análise de Mercado e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2026-03-23T00:44:42.369Z</dcterms:created>
  <dcterms:modified xsi:type="dcterms:W3CDTF">2026-03-23T00:44:42.369Z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