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Aplicación de gestión de alumnos</w:t>
      </w:r>
    </w:p>
    <w:p>
      <w:r>
        <w:t>Informe de implementación de la Sección A</w:t>
      </w:r>
    </w:p>
    <w:p>
      <w:r>
        <w:t>Se desarrolló una aplicación académica con cinco pantallas basadas en la imagen de la consigna. Permite acceder a un menú, consultar y buscar alumnos, registrar una nota y revisar o editar el perfil. La tecnología elegida es Flutter con el lenguaje Dart, porque coincide con los contenidos estudiados de las semanas 1 a 8.</w:t>
      </w:r>
    </w:p>
    <w:p>
      <w:pPr>
        <w:pStyle w:val="Heading1"/>
      </w:pPr>
      <w:r>
        <w:t>Tecnologías aplicadas</w:t>
      </w:r>
    </w:p>
    <w:p>
      <w:pPr/>
      <w:r>
        <w:rPr>
          <w:b/>
        </w:rPr>
        <w:t xml:space="preserve">Flutter y Dart: </w:t>
      </w:r>
      <w:r>
        <w:t>interfaz multiplataforma, clases, funciones, widgets y formularios.</w:t>
      </w:r>
    </w:p>
    <w:p>
      <w:pPr/>
      <w:r>
        <w:rPr>
          <w:b/>
        </w:rPr>
        <w:t xml:space="preserve">Provider: </w:t>
      </w:r>
      <w:r>
        <w:t>estado compartido para sesión, navegación, alumnos, búsqueda y perfil.</w:t>
      </w:r>
    </w:p>
    <w:p>
      <w:pPr/>
      <w:r>
        <w:rPr>
          <w:b/>
        </w:rPr>
        <w:t xml:space="preserve">HTTP: </w:t>
      </w:r>
      <w:r>
        <w:t>consulta de usuarios de ejemplo a JSONPlaceholder mediante el paquete http.</w:t>
      </w:r>
    </w:p>
    <w:p>
      <w:r>
        <w:t>Identidad visual: se usa el logo TE proporcionado y su cian #00B2E2, con blanco y un cian más oscuro en barras y botones para facilitar la lectura.</w:t>
      </w:r>
    </w:p>
    <w:p>
      <w:pPr>
        <w:pStyle w:val="Heading1"/>
      </w:pPr>
      <w:r>
        <w:t>Pantallas de acceso y menú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968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08760" cy="3265111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in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8760" cy="326511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</w:rPr>
              <w:t>1 Inicio de sesión</w:t>
            </w:r>
          </w:p>
          <w:p>
            <w:pPr>
              <w:pStyle w:val="Caption"/>
              <w:jc w:val="center"/>
            </w:pPr>
            <w:r>
              <w:t>Valida correo y contraseña antes de mostrar el menú.</w:t>
            </w:r>
          </w:p>
        </w:tc>
        <w:tc>
          <w:tcPr>
            <w:tcW w:type="dxa" w:w="4968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08760" cy="3265111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enu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8760" cy="326511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</w:rPr>
              <w:t>2 Menú</w:t>
            </w:r>
          </w:p>
          <w:p>
            <w:pPr>
              <w:pStyle w:val="Caption"/>
              <w:jc w:val="center"/>
            </w:pPr>
            <w:r>
              <w:t>Abre registro, listado, perfil y cierre de sesión.</w:t>
            </w:r>
          </w:p>
        </w:tc>
      </w:tr>
    </w:tbl>
    <w:p>
      <w:r>
        <w:br w:type="page"/>
      </w:r>
    </w:p>
    <w:p>
      <w:pPr>
        <w:pStyle w:val="Heading1"/>
      </w:pPr>
      <w:r>
        <w:t>Listado registro y perfil</w:t>
      </w:r>
    </w:p>
    <w:p>
      <w:r>
        <w:t>Estas tres pantallas completan el flujo mostrado en la referencia visual.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240"/>
        <w:gridCol w:w="3240"/>
        <w:gridCol w:w="3240"/>
      </w:tblGrid>
      <w:tr>
        <w:tc>
          <w:tcPr>
            <w:tcW w:type="dxa" w:w="3312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08760" cy="3265111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lumnos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8760" cy="326511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</w:rPr>
              <w:t>3 Listar alumnos</w:t>
            </w:r>
          </w:p>
          <w:p>
            <w:pPr>
              <w:pStyle w:val="Caption"/>
              <w:jc w:val="center"/>
            </w:pPr>
            <w:r>
              <w:t>Busca por nombre y muestra nota y estado.</w:t>
            </w:r>
          </w:p>
        </w:tc>
        <w:tc>
          <w:tcPr>
            <w:tcW w:type="dxa" w:w="3312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08760" cy="3265111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istro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8760" cy="326511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</w:rPr>
              <w:t>4 Registrar alumno</w:t>
            </w:r>
          </w:p>
          <w:p>
            <w:pPr>
              <w:pStyle w:val="Caption"/>
              <w:jc w:val="center"/>
            </w:pPr>
            <w:r>
              <w:t>Comprueba nombre, apellido y nota de 0 a 20.</w:t>
            </w:r>
          </w:p>
        </w:tc>
        <w:tc>
          <w:tcPr>
            <w:tcW w:type="dxa" w:w="3312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08760" cy="3265111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erfil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8760" cy="326511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</w:rPr>
              <w:t>5 Perfil</w:t>
            </w:r>
          </w:p>
          <w:p>
            <w:pPr>
              <w:pStyle w:val="Caption"/>
              <w:jc w:val="center"/>
            </w:pPr>
            <w:r>
              <w:t>Presenta y permite editar los datos de la docente.</w:t>
            </w:r>
          </w:p>
        </w:tc>
      </w:tr>
    </w:tbl>
    <w:p>
      <w:r>
        <w:t>El botón de sincronización del listado realiza una petición GET a https://jsonplaceholder.typicode.com/users. Ese servicio aporta nombres, pero no notas; las notas recibidas se calculan solo para esta demostración. Los registros y cambios locales se pierden al cerrar la app.</w:t>
      </w:r>
    </w:p>
    <w:p>
      <w:r>
        <w:br w:type="page"/>
      </w:r>
    </w:p>
    <w:p>
      <w:pPr>
        <w:pStyle w:val="Heading1"/>
      </w:pPr>
      <w:r>
        <w:t>Doce elementos de código y su utilidad</w:t>
      </w:r>
    </w:p>
    <w:p>
      <w:r>
        <w:t>La tabla resume elementos que aparecen en el proyecto y la función que cumplen.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7"/>
        <w:gridCol w:w="3082"/>
        <w:gridCol w:w="5688"/>
      </w:tblGrid>
      <w:tr>
        <w:tc>
          <w:tcPr>
            <w:tcW w:type="dxa" w:w="547"/>
            <w:shd w:fill="253B7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b/>
                <w:color w:val="FFFFFF"/>
              </w:rPr>
              <w:t>N</w:t>
            </w:r>
          </w:p>
        </w:tc>
        <w:tc>
          <w:tcPr>
            <w:tcW w:type="dxa" w:w="3082"/>
            <w:shd w:fill="253B7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b/>
                <w:color w:val="FFFFFF"/>
              </w:rPr>
              <w:t>Elemento</w:t>
            </w:r>
          </w:p>
        </w:tc>
        <w:tc>
          <w:tcPr>
            <w:tcW w:type="dxa" w:w="5688"/>
            <w:shd w:fill="253B7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b/>
                <w:color w:val="FFFFFF"/>
              </w:rPr>
              <w:t>Concepto breve</w:t>
            </w:r>
          </w:p>
        </w:tc>
      </w:tr>
      <w:tr>
        <w:tc>
          <w:tcPr>
            <w:tcW w:type="dxa" w:w="54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308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class Student</w:t>
            </w:r>
          </w:p>
        </w:tc>
        <w:tc>
          <w:tcPr>
            <w:tcW w:type="dxa" w:w="56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/>
            </w:pPr>
            <w:r>
              <w:rPr>
                <w:sz w:val="18"/>
              </w:rPr>
              <w:t>Crea el modelo con nombre, apellido y nota de cada alumno.</w:t>
            </w:r>
          </w:p>
        </w:tc>
      </w:tr>
      <w:tr>
        <w:tc>
          <w:tcPr>
            <w:tcW w:type="dxa" w:w="54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6FC"/>
          </w:tcPr>
          <w:p>
            <w:pPr>
              <w:spacing w:after="40"/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308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6FC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abstract class StudentRepository</w:t>
            </w:r>
          </w:p>
        </w:tc>
        <w:tc>
          <w:tcPr>
            <w:tcW w:type="dxa" w:w="56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6FC"/>
          </w:tcPr>
          <w:p>
            <w:pPr>
              <w:spacing w:after="40"/>
            </w:pPr>
            <w:r>
              <w:rPr>
                <w:sz w:val="18"/>
              </w:rPr>
              <w:t>Define el contrato para obtener alumnos sin depender de una implementación concreta.</w:t>
            </w:r>
          </w:p>
        </w:tc>
      </w:tr>
      <w:tr>
        <w:tc>
          <w:tcPr>
            <w:tcW w:type="dxa" w:w="54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/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308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MaterialApp</w:t>
            </w:r>
          </w:p>
        </w:tc>
        <w:tc>
          <w:tcPr>
            <w:tcW w:type="dxa" w:w="56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/>
            </w:pPr>
            <w:r>
              <w:rPr>
                <w:sz w:val="18"/>
              </w:rPr>
              <w:t>Configura la aplicación, su tema y la pantalla inicial.</w:t>
            </w:r>
          </w:p>
        </w:tc>
      </w:tr>
      <w:tr>
        <w:tc>
          <w:tcPr>
            <w:tcW w:type="dxa" w:w="54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6FC"/>
          </w:tcPr>
          <w:p>
            <w:pPr>
              <w:spacing w:after="40"/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308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6FC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Scaffold</w:t>
            </w:r>
          </w:p>
        </w:tc>
        <w:tc>
          <w:tcPr>
            <w:tcW w:type="dxa" w:w="56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6FC"/>
          </w:tcPr>
          <w:p>
            <w:pPr>
              <w:spacing w:after="40"/>
            </w:pPr>
            <w:r>
              <w:rPr>
                <w:sz w:val="18"/>
              </w:rPr>
              <w:t>Proporciona la estructura visual de cada pantalla, incluida la barra superior.</w:t>
            </w:r>
          </w:p>
        </w:tc>
      </w:tr>
      <w:tr>
        <w:tc>
          <w:tcPr>
            <w:tcW w:type="dxa" w:w="54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/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type="dxa" w:w="308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const</w:t>
            </w:r>
          </w:p>
        </w:tc>
        <w:tc>
          <w:tcPr>
            <w:tcW w:type="dxa" w:w="56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/>
            </w:pPr>
            <w:r>
              <w:rPr>
                <w:sz w:val="18"/>
              </w:rPr>
              <w:t>Marca widgets cuyos datos son constantes y evita reconstrucciones innecesarias.</w:t>
            </w:r>
          </w:p>
        </w:tc>
      </w:tr>
      <w:tr>
        <w:tc>
          <w:tcPr>
            <w:tcW w:type="dxa" w:w="54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6FC"/>
          </w:tcPr>
          <w:p>
            <w:pPr>
              <w:spacing w:after="40"/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type="dxa" w:w="308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6FC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Form</w:t>
            </w:r>
          </w:p>
        </w:tc>
        <w:tc>
          <w:tcPr>
            <w:tcW w:type="dxa" w:w="56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6FC"/>
          </w:tcPr>
          <w:p>
            <w:pPr>
              <w:spacing w:after="40"/>
            </w:pPr>
            <w:r>
              <w:rPr>
                <w:sz w:val="18"/>
              </w:rPr>
              <w:t>Agrupa los campos para validar los datos antes de guardarlos.</w:t>
            </w:r>
          </w:p>
        </w:tc>
      </w:tr>
      <w:tr>
        <w:tc>
          <w:tcPr>
            <w:tcW w:type="dxa" w:w="54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/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type="dxa" w:w="308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TextFormField</w:t>
            </w:r>
          </w:p>
        </w:tc>
        <w:tc>
          <w:tcPr>
            <w:tcW w:type="dxa" w:w="56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/>
            </w:pPr>
            <w:r>
              <w:rPr>
                <w:sz w:val="18"/>
              </w:rPr>
              <w:t>Recibe texto y muestra errores de validación en acceso, registro y perfil.</w:t>
            </w:r>
          </w:p>
        </w:tc>
      </w:tr>
      <w:tr>
        <w:tc>
          <w:tcPr>
            <w:tcW w:type="dxa" w:w="54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6FC"/>
          </w:tcPr>
          <w:p>
            <w:pPr>
              <w:spacing w:after="40"/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type="dxa" w:w="308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6FC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ListView.builder</w:t>
            </w:r>
          </w:p>
        </w:tc>
        <w:tc>
          <w:tcPr>
            <w:tcW w:type="dxa" w:w="56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6FC"/>
          </w:tcPr>
          <w:p>
            <w:pPr>
              <w:spacing w:after="40"/>
            </w:pPr>
            <w:r>
              <w:rPr>
                <w:sz w:val="18"/>
              </w:rPr>
              <w:t>Dibuja la lista de alumnos de forma dinámica, elemento por elemento.</w:t>
            </w:r>
          </w:p>
        </w:tc>
      </w:tr>
      <w:tr>
        <w:tc>
          <w:tcPr>
            <w:tcW w:type="dxa" w:w="54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/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type="dxa" w:w="308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Consolas" w:hAnsi="Consolas"/>
                <w:sz w:val="17"/>
              </w:rPr>
              <w:t>Image.asset</w:t>
            </w:r>
          </w:p>
        </w:tc>
        <w:tc>
          <w:tcPr>
            <w:tcW w:type="dxa" w:w="56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t>Muestra el logo TE guardado en los archivos del proyecto.</w:t>
            </w:r>
          </w:p>
        </w:tc>
      </w:tr>
      <w:tr>
        <w:tc>
          <w:tcPr>
            <w:tcW w:type="dxa" w:w="54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6FC"/>
          </w:tcPr>
          <w:p>
            <w:pPr>
              <w:spacing w:after="40"/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type="dxa" w:w="308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6FC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ChangeNotifierProvider</w:t>
            </w:r>
          </w:p>
        </w:tc>
        <w:tc>
          <w:tcPr>
            <w:tcW w:type="dxa" w:w="56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6FC"/>
          </w:tcPr>
          <w:p>
            <w:pPr>
              <w:spacing w:after="40"/>
            </w:pPr>
            <w:r>
              <w:rPr>
                <w:sz w:val="18"/>
              </w:rPr>
              <w:t>Comparte el estado de alumnos y sesión con las pantallas hijas.</w:t>
            </w:r>
          </w:p>
        </w:tc>
      </w:tr>
      <w:tr>
        <w:tc>
          <w:tcPr>
            <w:tcW w:type="dxa" w:w="54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/>
              <w:jc w:val="center"/>
            </w:pPr>
            <w:r>
              <w:rPr>
                <w:sz w:val="18"/>
              </w:rPr>
              <w:t>11</w:t>
            </w:r>
          </w:p>
        </w:tc>
        <w:tc>
          <w:tcPr>
            <w:tcW w:type="dxa" w:w="308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Consumer&lt;AppState&gt;</w:t>
            </w:r>
          </w:p>
        </w:tc>
        <w:tc>
          <w:tcPr>
            <w:tcW w:type="dxa" w:w="56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/>
            </w:pPr>
            <w:r>
              <w:rPr>
                <w:sz w:val="18"/>
              </w:rPr>
              <w:t>Actualiza la interfaz cuando cambia el estado de Provider.</w:t>
            </w:r>
          </w:p>
        </w:tc>
      </w:tr>
      <w:tr>
        <w:tc>
          <w:tcPr>
            <w:tcW w:type="dxa" w:w="54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6FC"/>
          </w:tcPr>
          <w:p>
            <w:pPr>
              <w:spacing w:after="40"/>
              <w:jc w:val="center"/>
            </w:pPr>
            <w:r>
              <w:rPr>
                <w:sz w:val="18"/>
              </w:rPr>
              <w:t>12</w:t>
            </w:r>
          </w:p>
        </w:tc>
        <w:tc>
          <w:tcPr>
            <w:tcW w:type="dxa" w:w="308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6FC"/>
          </w:tcPr>
          <w:p>
            <w:pPr>
              <w:spacing w:after="40"/>
            </w:pPr>
            <w:r>
              <w:rPr>
                <w:rFonts w:ascii="Consolas" w:hAnsi="Consolas"/>
                <w:sz w:val="17"/>
              </w:rPr>
              <w:t>http.Client.get()</w:t>
            </w:r>
          </w:p>
        </w:tc>
        <w:tc>
          <w:tcPr>
            <w:tcW w:type="dxa" w:w="56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6FC"/>
          </w:tcPr>
          <w:p>
            <w:pPr>
              <w:spacing w:after="40"/>
            </w:pPr>
            <w:r>
              <w:rPr>
                <w:sz w:val="18"/>
              </w:rPr>
              <w:t>Descarga usuarios de ejemplo desde el servicio HTTP.</w:t>
            </w:r>
          </w:p>
        </w:tc>
      </w:tr>
    </w:tbl>
    <w:p>
      <w:pPr>
        <w:pStyle w:val="Heading2"/>
      </w:pPr>
      <w:r>
        <w:t>Ejemplo para agregar una imagen</w:t>
      </w:r>
    </w:p>
    <w:p>
      <w:r>
        <w:t>El logo TE proporcionado se guardó en assets/te_logo.png y se muestra en la app con Image.asset. Este es el código usado:</w:t>
      </w:r>
    </w:p>
    <w:p>
      <w:r>
        <w:rPr>
          <w:rFonts w:ascii="Consolas" w:hAnsi="Consolas"/>
          <w:sz w:val="18"/>
        </w:rPr>
        <w:t>Image.asset('assets/te_logo.png')</w:t>
      </w:r>
    </w:p>
    <w:p>
      <w:r>
        <w:t>La ruta del archivo se declara en pubspec.yaml. Para imágenes remotas, Flutter también ofrece Image.network('https://ejemplo.com/foto.png').</w:t>
      </w:r>
    </w:p>
    <w:sectPr w:rsidR="00FC693F" w:rsidRPr="0006063C" w:rsidSect="00034616">
      <w:footerReference w:type="default" r:id="rId14"/>
      <w:pgSz w:w="12240" w:h="15840"/>
      <w:pgMar w:top="1037" w:right="1152" w:bottom="979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Gestión de alumnos · Sección A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Aptos" w:hAnsi="Aptos"/>
      <w:color w:val="191919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8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ptos" w:hAnsi="Aptos"/>
      <w:b/>
      <w:bCs/>
      <w:color w:val="464646"/>
      <w:sz w:val="17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footer" Target="footer1.xml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