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DD0F" w14:textId="44209481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Junior</w:t>
      </w:r>
      <w:bookmarkStart w:id="0" w:name="_GoBack"/>
      <w:bookmarkEnd w:id="0"/>
      <w:r>
        <w:rPr>
          <w:rFonts w:ascii="Calibri" w:eastAsia="Calibri" w:hAnsi="Calibri" w:cs="Calibri"/>
        </w:rPr>
        <w:t>Aufwandschätzung:</w:t>
      </w:r>
    </w:p>
    <w:p w14:paraId="12C4DD1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Analyse der spezifischen Anforderungen:</w:t>
      </w:r>
    </w:p>
    <w:p w14:paraId="12C4DD1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-Unternehmensgröße: Mit 3000 Mitarbeitern ist die Automatisierung der Urlaubsverwaltung entscheidend, um den Verwaltungsaufwand zu minimieren. Die Anpassung an die Unternehmensgröße von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 mit 3000 Mitarbeitern erfordert eine umfassende Evaluie</w:t>
      </w:r>
      <w:r>
        <w:rPr>
          <w:rFonts w:ascii="Calibri" w:eastAsia="Calibri" w:hAnsi="Calibri" w:cs="Calibri"/>
        </w:rPr>
        <w:t>rung, um sicherzustellen, dass die Lösung skalierbar ist und das rasante Wachstum bewältigen kann.</w:t>
      </w:r>
    </w:p>
    <w:p w14:paraId="12C4DD1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Softwareentwicklung:</w:t>
      </w:r>
    </w:p>
    <w:p w14:paraId="12C4DD1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Entwicklung einer benutzerfreundlichen Oberfläche und eines automatisierten Workflows wird geschätzt, wobei besonderes Augen</w:t>
      </w:r>
      <w:r>
        <w:rPr>
          <w:rFonts w:ascii="Calibri" w:eastAsia="Calibri" w:hAnsi="Calibri" w:cs="Calibri"/>
        </w:rPr>
        <w:t xml:space="preserve">merk auf Integration und Anpassung an das bestehende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-System gelegt wird.</w:t>
      </w:r>
    </w:p>
    <w:p w14:paraId="12C4DD1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Benutzerschulung:</w:t>
      </w:r>
    </w:p>
    <w:p w14:paraId="12C4DD1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Schulung der Mitarbeiter sowie spezielle Schulungen für Führungskräfte erfordern sorgfältige Zeitplanung und Ressourcenzuweisung, um e</w:t>
      </w:r>
      <w:r>
        <w:rPr>
          <w:rFonts w:ascii="Calibri" w:eastAsia="Calibri" w:hAnsi="Calibri" w:cs="Calibri"/>
        </w:rPr>
        <w:t>ine reibungslose Einführung sicherzustellen.</w:t>
      </w:r>
    </w:p>
    <w:p w14:paraId="12C4DD1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Sicherheit und Konformität:</w:t>
      </w:r>
    </w:p>
    <w:p w14:paraId="12C4DD1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Maßnahmen zur Sicherung der Vertraulichkeit der Urlaubsdaten, einschließlich fortschrittlicher Verschlüsselung, werden implementiert. Die Umsetzung der DSGVO und anderer Daten</w:t>
      </w:r>
      <w:r>
        <w:rPr>
          <w:rFonts w:ascii="Calibri" w:eastAsia="Calibri" w:hAnsi="Calibri" w:cs="Calibri"/>
        </w:rPr>
        <w:t>schutzbestimmungen ist integraler Bestandteil.</w:t>
      </w:r>
    </w:p>
    <w:p w14:paraId="12C4DD1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Fortlaufende Wartung:</w:t>
      </w:r>
    </w:p>
    <w:p w14:paraId="12C4DD1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langfristige Funktionalität des Systems erfordert eine kontinuierliche Wartung, einschließlich regelmäßiger Aktualisierungen, Fehlerbehebungen und eines effektiven technischen</w:t>
      </w:r>
      <w:r>
        <w:rPr>
          <w:rFonts w:ascii="Calibri" w:eastAsia="Calibri" w:hAnsi="Calibri" w:cs="Calibri"/>
        </w:rPr>
        <w:t xml:space="preserve"> Supports.</w:t>
      </w:r>
    </w:p>
    <w:p w14:paraId="12C4DD1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Integration mit anderen Programmen:</w:t>
      </w:r>
    </w:p>
    <w:p w14:paraId="12C4DD1B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Schnittstellenentwicklung für eine reibungslose Integration mit der Gehaltsabrechnung wird sorgfältig geplant, um genaue Datensynchronisation sicherzustellen.</w:t>
      </w:r>
    </w:p>
    <w:p w14:paraId="12C4DD1C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Angebot:</w:t>
      </w:r>
    </w:p>
    <w:p w14:paraId="12C4DD1D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Projektumfang:</w:t>
      </w:r>
    </w:p>
    <w:p w14:paraId="12C4DD1E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Das An</w:t>
      </w:r>
      <w:r>
        <w:rPr>
          <w:rFonts w:ascii="Calibri" w:eastAsia="Calibri" w:hAnsi="Calibri" w:cs="Calibri"/>
        </w:rPr>
        <w:t xml:space="preserve">gebot umfasst die Entwicklung einer umfassenden Lösung, die die gesamte Urlaubsverwaltung abdeckt, von der Benutzeroberfläche über den Workflow bis zur Integration in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.</w:t>
      </w:r>
    </w:p>
    <w:p w14:paraId="12C4DD1F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Der Zeitrahmen für die Implementierung wird klar definiert.</w:t>
      </w:r>
    </w:p>
    <w:p w14:paraId="12C4DD2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K</w:t>
      </w:r>
      <w:r>
        <w:rPr>
          <w:rFonts w:ascii="Calibri" w:eastAsia="Calibri" w:hAnsi="Calibri" w:cs="Calibri"/>
        </w:rPr>
        <w:t>ostenkalkulation:</w:t>
      </w:r>
    </w:p>
    <w:p w14:paraId="12C4DD2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detaillierte Kostenanalyse enthält spezifische Budgets für jeden Aspekt des Projekts, einschließlich Entwicklung, Schulung und Wartung.</w:t>
      </w:r>
    </w:p>
    <w:p w14:paraId="12C4DD2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Klare Zahlungsbedingungen und mögliche zusätzliche Kosten werden transparent aufgeführt</w:t>
      </w:r>
      <w:r>
        <w:rPr>
          <w:rFonts w:ascii="Calibri" w:eastAsia="Calibri" w:hAnsi="Calibri" w:cs="Calibri"/>
        </w:rPr>
        <w:t>.</w:t>
      </w:r>
    </w:p>
    <w:p w14:paraId="12C4DD2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Ressourcenbedarf:</w:t>
      </w:r>
    </w:p>
    <w:p w14:paraId="12C4DD2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benötigten Ressourcen, darunter Entwickler, Schulungspersonal und Support-Team, werden genau festgelegt.</w:t>
      </w:r>
    </w:p>
    <w:p w14:paraId="12C4DD2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Vertragsbedingungen:</w:t>
      </w:r>
    </w:p>
    <w:p w14:paraId="12C4DD2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Vertragsbedingungen, Haftungsausschlüsse, Garantien und Supportbedingungen sind klar und p</w:t>
      </w:r>
      <w:r>
        <w:rPr>
          <w:rFonts w:ascii="Calibri" w:eastAsia="Calibri" w:hAnsi="Calibri" w:cs="Calibri"/>
        </w:rPr>
        <w:t>räzise formuliert.</w:t>
      </w:r>
    </w:p>
    <w:p w14:paraId="12C4DD2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Compliance-Garantien:</w:t>
      </w:r>
    </w:p>
    <w:p w14:paraId="12C4DD2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klare Zusage zur Einhaltung von Datenschutzstandards und gesetzlichen Vorschriften wird im Angebot festgehalten.</w:t>
      </w:r>
    </w:p>
    <w:p w14:paraId="12C4DD2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Verpflichtung zur Anpassung an zukünftige Änderungen in den Datenschutzvorschrif</w:t>
      </w:r>
      <w:r>
        <w:rPr>
          <w:rFonts w:ascii="Calibri" w:eastAsia="Calibri" w:hAnsi="Calibri" w:cs="Calibri"/>
        </w:rPr>
        <w:t>ten ist integraler Bestandteil des Angebots.</w:t>
      </w:r>
    </w:p>
    <w:p w14:paraId="12C4DD2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Dieses Angebot bietet eine detaillierte und transparente Darstellung der erwarteten Kosten und Vertragsbedingungen im Zusammenhang mit der Implementierung des Urlaubsverwaltungsmoduls bei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".</w:t>
      </w:r>
    </w:p>
    <w:sectPr w:rsidR="00612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C2"/>
    <w:rsid w:val="006120C2"/>
    <w:rsid w:val="006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DD0F"/>
  <w15:docId w15:val="{5755427D-6050-47FF-B7CB-A73A309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aguiwo</cp:lastModifiedBy>
  <cp:revision>2</cp:revision>
  <dcterms:created xsi:type="dcterms:W3CDTF">2023-10-31T23:52:00Z</dcterms:created>
  <dcterms:modified xsi:type="dcterms:W3CDTF">2023-10-31T23:52:00Z</dcterms:modified>
</cp:coreProperties>
</file>