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4DD0F" w14:textId="3D53846F" w:rsidR="006120C2" w:rsidRDefault="00682F6C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Aufwandschätzung:</w:t>
      </w:r>
    </w:p>
    <w:p w14:paraId="12C4DD10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Analyse der spezifischen Anforderungen:</w:t>
      </w:r>
    </w:p>
    <w:p w14:paraId="12C4DD11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-Unternehmensgröße: Mit 3000 Mitarbeitern ist die Automatisierung der Urlaubsverwaltung entscheidend, um den Verwaltungsaufwand zu minimieren. Die Anpassung an die Unternehmensgröße von "</w:t>
      </w:r>
      <w:proofErr w:type="spellStart"/>
      <w:r>
        <w:rPr>
          <w:rFonts w:ascii="Calibri" w:eastAsia="Calibri" w:hAnsi="Calibri" w:cs="Calibri"/>
        </w:rPr>
        <w:t>FlexiPlot</w:t>
      </w:r>
      <w:proofErr w:type="spellEnd"/>
      <w:r>
        <w:rPr>
          <w:rFonts w:ascii="Calibri" w:eastAsia="Calibri" w:hAnsi="Calibri" w:cs="Calibri"/>
        </w:rPr>
        <w:t>" mit 3000 Mitarbeitern erfordert eine umfassende Evaluierung, um sicherzustellen, dass die Lösung skalierbar ist und das rasante Wachstum bewältigen kann.</w:t>
      </w:r>
    </w:p>
    <w:p w14:paraId="12C4DD12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Softwareentwicklung:</w:t>
      </w:r>
    </w:p>
    <w:p w14:paraId="12C4DD13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Entwicklung einer benutzerfreundlichen Oberfläche und eines automatisierten Workflows wird geschätzt, wobei besonderes Augenmerk auf Integration und Anpassung an das bestehende SAP </w:t>
      </w:r>
      <w:proofErr w:type="spellStart"/>
      <w:r>
        <w:rPr>
          <w:rFonts w:ascii="Calibri" w:eastAsia="Calibri" w:hAnsi="Calibri" w:cs="Calibri"/>
        </w:rPr>
        <w:t>SuccessFactors</w:t>
      </w:r>
      <w:proofErr w:type="spellEnd"/>
      <w:r>
        <w:rPr>
          <w:rFonts w:ascii="Calibri" w:eastAsia="Calibri" w:hAnsi="Calibri" w:cs="Calibri"/>
        </w:rPr>
        <w:t>-System gelegt wird.</w:t>
      </w:r>
    </w:p>
    <w:p w14:paraId="12C4DD14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Benutzerschulung:</w:t>
      </w:r>
    </w:p>
    <w:p w14:paraId="12C4DD15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Schulung der Mitarbeiter sowie spezielle Schulungen für Führungskräfte erfordern sorgfältige Zeitplanung und Ressourcenzuweisung, um eine reibungslose Einführung sicherzustellen.</w:t>
      </w:r>
    </w:p>
    <w:p w14:paraId="12C4DD16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Sicherheit und Konformität:</w:t>
      </w:r>
    </w:p>
    <w:p w14:paraId="12C4DD17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Maßnahmen zur Sicherung der Vertraulichkeit der Urlaubsdaten, einschließlich fortschrittlicher Verschlüsselung, werden implementiert. Die Umsetzung der DSGVO und anderer Datenschutzbestimmungen ist integraler Bestandteil.</w:t>
      </w:r>
    </w:p>
    <w:p w14:paraId="12C4DD18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Fortlaufende Wartung:</w:t>
      </w:r>
    </w:p>
    <w:p w14:paraId="12C4DD19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langfristige Funktionalität des Systems erfordert eine kontinuierliche Wartung, einschließlich regelmäßiger Aktualisierungen, Fehlerbehebungen und eines effektiven technischen Supports.</w:t>
      </w:r>
    </w:p>
    <w:p w14:paraId="12C4DD1A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Integration mit anderen Programmen:</w:t>
      </w:r>
    </w:p>
    <w:p w14:paraId="12C4DD1B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Schnittstellenentwicklung für eine reibungslose Integration mit der Gehaltsabrechnung wird sorgfältig geplant, um genaue Datensynchronisation sicherzustellen.</w:t>
      </w:r>
    </w:p>
    <w:p w14:paraId="12C4DD1C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Angebot:</w:t>
      </w:r>
    </w:p>
    <w:p w14:paraId="12C4DD1D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Projektumfang:</w:t>
      </w:r>
    </w:p>
    <w:p w14:paraId="12C4DD1E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Das Angebot umfasst die Entwicklung einer umfassenden Lösung, die die gesamte Urlaubsverwaltung abdeckt, von der Benutzeroberfläche über den Workflow bis zur Integration in SAP </w:t>
      </w:r>
      <w:proofErr w:type="spellStart"/>
      <w:r>
        <w:rPr>
          <w:rFonts w:ascii="Calibri" w:eastAsia="Calibri" w:hAnsi="Calibri" w:cs="Calibri"/>
        </w:rPr>
        <w:t>SuccessFactors</w:t>
      </w:r>
      <w:proofErr w:type="spellEnd"/>
      <w:r>
        <w:rPr>
          <w:rFonts w:ascii="Calibri" w:eastAsia="Calibri" w:hAnsi="Calibri" w:cs="Calibri"/>
        </w:rPr>
        <w:t>.</w:t>
      </w:r>
    </w:p>
    <w:p w14:paraId="12C4DD1F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Der Zeitrahmen für die Implementierung wird klar definiert.</w:t>
      </w:r>
    </w:p>
    <w:p w14:paraId="12C4DD20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Kostenkalkulation:</w:t>
      </w:r>
    </w:p>
    <w:p w14:paraId="12C4DD21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Eine detaillierte Kostenanalyse enthält spezifische Budgets für jeden Aspekt des Projekts, einschließlich Entwicklung, Schulung und Wartung.</w:t>
      </w:r>
    </w:p>
    <w:p w14:paraId="12C4DD22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Klare Zahlungsbedingungen und mögliche zusätzliche Kosten werden transparent aufgeführt.</w:t>
      </w:r>
    </w:p>
    <w:p w14:paraId="12C4DD23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 Ressourcenbedarf:</w:t>
      </w:r>
    </w:p>
    <w:p w14:paraId="12C4DD24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benötigten Ressourcen, darunter Entwickler, Schulungspersonal und Support-Team, werden genau festgelegt.</w:t>
      </w:r>
    </w:p>
    <w:p w14:paraId="12C4DD25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Vertragsbedingungen:</w:t>
      </w:r>
    </w:p>
    <w:p w14:paraId="12C4DD26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Vertragsbedingungen, Haftungsausschlüsse, Garantien und Supportbedingungen sind klar und präzise formuliert.</w:t>
      </w:r>
    </w:p>
    <w:p w14:paraId="12C4DD27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Compliance-Garantien:</w:t>
      </w:r>
    </w:p>
    <w:p w14:paraId="12C4DD28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Eine klare Zusage zur Einhaltung von Datenschutzstandards und gesetzlichen Vorschriften wird im Angebot festgehalten.</w:t>
      </w:r>
    </w:p>
    <w:p w14:paraId="12C4DD29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Die Verpflichtung zur Anpassung an zukünftige Änderungen in den Datenschutzvorschriften ist integraler Bestandteil des Angebots.</w:t>
      </w:r>
    </w:p>
    <w:p w14:paraId="12C4DD2A" w14:textId="77777777" w:rsidR="006120C2" w:rsidRDefault="00682F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Dieses Angebot bietet eine detaillierte und transparente Darstellung der erwarteten Kosten und Vertragsbedingungen im Zusammenhang mit der Implementierung des Urlaubsverwaltungsmoduls bei "</w:t>
      </w:r>
      <w:proofErr w:type="spellStart"/>
      <w:r>
        <w:rPr>
          <w:rFonts w:ascii="Calibri" w:eastAsia="Calibri" w:hAnsi="Calibri" w:cs="Calibri"/>
        </w:rPr>
        <w:t>FlexiPlot</w:t>
      </w:r>
      <w:proofErr w:type="spellEnd"/>
      <w:r>
        <w:rPr>
          <w:rFonts w:ascii="Calibri" w:eastAsia="Calibri" w:hAnsi="Calibri" w:cs="Calibri"/>
        </w:rPr>
        <w:t>".</w:t>
      </w:r>
    </w:p>
    <w:sectPr w:rsidR="006120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0C2"/>
    <w:rsid w:val="006120C2"/>
    <w:rsid w:val="00667816"/>
    <w:rsid w:val="0068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DD0F"/>
  <w15:docId w15:val="{5755427D-6050-47FF-B7CB-A73A309E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aguiwo</cp:lastModifiedBy>
  <cp:revision>3</cp:revision>
  <dcterms:created xsi:type="dcterms:W3CDTF">2023-10-31T23:52:00Z</dcterms:created>
  <dcterms:modified xsi:type="dcterms:W3CDTF">2023-10-31T23:54:00Z</dcterms:modified>
</cp:coreProperties>
</file>