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automação de tarefas repetitivas representa um avanço significativo na otimização de processos em diversas áreas do conhecimento. A formatação de documentos acadêmicos, por exemplo, é uma atividade que consome tempo e exige atenção a detalhes específicos de normas técnicas, como as da ABNT.</w:t>
      </w:r>
    </w:p>
    <w:p>
      <w:r>
        <w:t>A padronização de margens, espaçamentos, fontes e referências é crucial para a validação formal do trabalho, mas desvia o foco do pesquisador do que é mais importante: o conteúdo da sua pesquisa. Ferramentas que automatizam essa formatação podem, portanto, aumentar a produtividade e reduzir a incidência de erros.</w:t>
      </w:r>
    </w:p>
    <w:p>
      <w:r>
        <w:t>Este projeto visa explorar a viabilidade e o desenvolvimento de uma solução de software para automatizar a formatação de documentos, começando pelos elementos fundamentais da estrutura de um parágrafo.</w:t>
      </w:r>
    </w:p>
    <w:p>
      <w:pPr>
        <w:ind w:firstLine="0"/>
        <w:jc w:val="left"/>
      </w:pPr>
      <w:r>
        <w:t>REFERÊNCIAS</w:t>
      </w:r>
    </w:p>
    <w:p>
      <w:pPr>
        <w:ind w:firstLine="0"/>
        <w:jc w:val="left"/>
      </w:pPr>
      <w:r>
        <w:t xml:space="preserve">ASSIS, Machado de. </w:t>
      </w:r>
      <w:r>
        <w:rPr>
          <w:b/>
        </w:rPr>
        <w:t>Dom Casmurro</w:t>
      </w:r>
      <w:r>
        <w:t>. Rio de Janeiro: Editora Clássicos, 1899.</w:t>
      </w:r>
    </w:p>
    <w:p>
      <w:pPr>
        <w:ind w:firstLine="0"/>
        <w:jc w:val="left"/>
      </w:pPr>
      <w:r>
        <w:t xml:space="preserve">LISPECTOR, Clarice. </w:t>
      </w:r>
      <w:r>
        <w:rPr>
          <w:b/>
        </w:rPr>
        <w:t>A hora da estrela</w:t>
      </w:r>
      <w:r>
        <w:t>. Rio de Janeiro: Rocco, 1977.</w:t>
      </w:r>
    </w:p>
    <w:sectPr w:rsidR="00FC693F" w:rsidRPr="0006063C" w:rsidSect="00034616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