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7DE8" w14:textId="1F4100B1" w:rsidR="00542F18" w:rsidRPr="008A2178" w:rsidRDefault="00443878" w:rsidP="000B3302">
      <w:pPr>
        <w:spacing w:after="0" w:line="276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Universidad del Valle</w:t>
      </w:r>
    </w:p>
    <w:p w14:paraId="525973EC" w14:textId="60C0ABBB" w:rsidR="00443878" w:rsidRPr="008A2178" w:rsidRDefault="00443878" w:rsidP="000B3302">
      <w:pPr>
        <w:spacing w:after="0" w:line="276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MAIN</w:t>
      </w:r>
    </w:p>
    <w:p w14:paraId="64DFCC6A" w14:textId="09372432" w:rsidR="00443878" w:rsidRPr="008A2178" w:rsidRDefault="00443878" w:rsidP="000B3302">
      <w:pPr>
        <w:spacing w:after="0" w:line="276" w:lineRule="auto"/>
        <w:jc w:val="both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>Toma de Decisiones Basadas en Datos</w:t>
      </w:r>
    </w:p>
    <w:p w14:paraId="3E1C3C33" w14:textId="77777777" w:rsidR="00443878" w:rsidRPr="008A2178" w:rsidRDefault="00443878" w:rsidP="000B3302">
      <w:pPr>
        <w:spacing w:after="0" w:line="276" w:lineRule="auto"/>
        <w:jc w:val="both"/>
        <w:rPr>
          <w:rFonts w:ascii="Garamond" w:hAnsi="Garamond"/>
        </w:rPr>
      </w:pPr>
    </w:p>
    <w:p w14:paraId="5C504E79" w14:textId="77777777" w:rsidR="00443878" w:rsidRPr="008A2178" w:rsidRDefault="00443878" w:rsidP="000B3302">
      <w:pPr>
        <w:spacing w:after="0" w:line="276" w:lineRule="auto"/>
        <w:jc w:val="both"/>
        <w:rPr>
          <w:rFonts w:ascii="Garamond" w:hAnsi="Garamond"/>
        </w:rPr>
      </w:pPr>
    </w:p>
    <w:p w14:paraId="2627E217" w14:textId="3A1A4531" w:rsidR="00443878" w:rsidRPr="008A2178" w:rsidRDefault="00443878" w:rsidP="000B3302">
      <w:pPr>
        <w:spacing w:after="0" w:line="276" w:lineRule="auto"/>
        <w:jc w:val="center"/>
        <w:rPr>
          <w:rFonts w:ascii="Garamond" w:hAnsi="Garamond"/>
          <w:b/>
          <w:bCs/>
        </w:rPr>
      </w:pPr>
      <w:r w:rsidRPr="008A2178">
        <w:rPr>
          <w:rFonts w:ascii="Garamond" w:hAnsi="Garamond"/>
          <w:b/>
          <w:bCs/>
        </w:rPr>
        <w:t xml:space="preserve">Taller </w:t>
      </w:r>
      <w:r w:rsidR="00E729F5">
        <w:rPr>
          <w:rFonts w:ascii="Garamond" w:hAnsi="Garamond"/>
          <w:b/>
          <w:bCs/>
        </w:rPr>
        <w:t>2</w:t>
      </w:r>
      <w:r w:rsidRPr="008A2178">
        <w:rPr>
          <w:rFonts w:ascii="Garamond" w:hAnsi="Garamond"/>
          <w:b/>
          <w:bCs/>
        </w:rPr>
        <w:t xml:space="preserve"> — </w:t>
      </w:r>
      <w:r w:rsidR="004A0005">
        <w:rPr>
          <w:rFonts w:ascii="Garamond" w:hAnsi="Garamond"/>
          <w:b/>
          <w:bCs/>
        </w:rPr>
        <w:t>Modelo Multinomial</w:t>
      </w:r>
    </w:p>
    <w:p w14:paraId="1D39AAF8" w14:textId="77777777" w:rsidR="008A2178" w:rsidRDefault="008A2178" w:rsidP="000B3302">
      <w:pPr>
        <w:spacing w:after="0" w:line="276" w:lineRule="auto"/>
        <w:jc w:val="both"/>
        <w:rPr>
          <w:rFonts w:ascii="Garamond" w:hAnsi="Garamond"/>
        </w:rPr>
      </w:pPr>
    </w:p>
    <w:p w14:paraId="3F816C88" w14:textId="4661A2FA" w:rsidR="00443878" w:rsidRDefault="00850C8A" w:rsidP="000B3302">
      <w:pPr>
        <w:spacing w:after="0" w:line="276" w:lineRule="auto"/>
        <w:jc w:val="both"/>
        <w:rPr>
          <w:rFonts w:ascii="Garamond" w:hAnsi="Garamond"/>
        </w:rPr>
      </w:pPr>
      <w:r w:rsidRPr="00850C8A">
        <w:rPr>
          <w:rFonts w:ascii="Garamond" w:hAnsi="Garamond"/>
        </w:rPr>
        <w:t xml:space="preserve">Modelar una elección con tres o más categorías nominales y convertir los resultados en probabilidades predichas, efectos marginales y una decisión de gestión. El foco del taller es el modelo </w:t>
      </w:r>
      <w:proofErr w:type="spellStart"/>
      <w:r w:rsidRPr="00850C8A">
        <w:rPr>
          <w:rFonts w:ascii="Garamond" w:hAnsi="Garamond"/>
        </w:rPr>
        <w:t>logit</w:t>
      </w:r>
      <w:proofErr w:type="spellEnd"/>
      <w:r w:rsidRPr="00850C8A">
        <w:rPr>
          <w:rFonts w:ascii="Garamond" w:hAnsi="Garamond"/>
        </w:rPr>
        <w:t xml:space="preserve"> multinomial; el </w:t>
      </w:r>
      <w:proofErr w:type="spellStart"/>
      <w:r w:rsidRPr="00850C8A">
        <w:rPr>
          <w:rFonts w:ascii="Garamond" w:hAnsi="Garamond"/>
        </w:rPr>
        <w:t>logit</w:t>
      </w:r>
      <w:proofErr w:type="spellEnd"/>
      <w:r w:rsidRPr="00850C8A">
        <w:rPr>
          <w:rFonts w:ascii="Garamond" w:hAnsi="Garamond"/>
        </w:rPr>
        <w:t xml:space="preserve"> binario solo se usa como antecedente conceptual.</w:t>
      </w:r>
    </w:p>
    <w:p w14:paraId="1470EF3E" w14:textId="77777777" w:rsidR="000B3302" w:rsidRDefault="000B3302" w:rsidP="000B3302">
      <w:pPr>
        <w:spacing w:after="0" w:line="276" w:lineRule="auto"/>
        <w:jc w:val="both"/>
        <w:rPr>
          <w:rFonts w:ascii="Garamond" w:hAnsi="Garamond"/>
        </w:rPr>
      </w:pPr>
    </w:p>
    <w:p w14:paraId="75B14997" w14:textId="77777777" w:rsidR="000B3302" w:rsidRDefault="000B3302" w:rsidP="000B3302">
      <w:pPr>
        <w:spacing w:after="0" w:line="276" w:lineRule="auto"/>
        <w:jc w:val="both"/>
        <w:rPr>
          <w:rFonts w:ascii="Garamond" w:hAnsi="Garamond"/>
        </w:rPr>
      </w:pPr>
    </w:p>
    <w:p w14:paraId="5CF510D8" w14:textId="77777777" w:rsidR="000B3302" w:rsidRPr="000B3302" w:rsidRDefault="000B3302" w:rsidP="000B3302">
      <w:pPr>
        <w:spacing w:after="0" w:line="276" w:lineRule="auto"/>
        <w:jc w:val="both"/>
        <w:rPr>
          <w:rFonts w:ascii="Garamond" w:hAnsi="Garamond"/>
          <w:b/>
          <w:bCs/>
        </w:rPr>
      </w:pPr>
      <w:r w:rsidRPr="000B3302">
        <w:rPr>
          <w:rFonts w:ascii="Garamond" w:hAnsi="Garamond"/>
          <w:b/>
          <w:bCs/>
        </w:rPr>
        <w:t>Condiciones mínimas de la base</w:t>
      </w:r>
    </w:p>
    <w:p w14:paraId="40940BE8" w14:textId="77777777" w:rsidR="000B3302" w:rsidRPr="00EE63AD" w:rsidRDefault="000B3302" w:rsidP="00EE63A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EE63AD">
        <w:rPr>
          <w:rFonts w:ascii="Garamond" w:hAnsi="Garamond"/>
        </w:rPr>
        <w:t xml:space="preserve">Variable dependiente con mínimo 3 categorías nominales: por </w:t>
      </w:r>
      <w:proofErr w:type="gramStart"/>
      <w:r w:rsidRPr="00EE63AD">
        <w:rPr>
          <w:rFonts w:ascii="Garamond" w:hAnsi="Garamond"/>
        </w:rPr>
        <w:t>ejemplo</w:t>
      </w:r>
      <w:proofErr w:type="gramEnd"/>
      <w:r w:rsidRPr="00EE63AD">
        <w:rPr>
          <w:rFonts w:ascii="Garamond" w:hAnsi="Garamond"/>
        </w:rPr>
        <w:t xml:space="preserve"> método de pago, tipo de crédito, canal, entidad, producto, programa, plataforma o marca.</w:t>
      </w:r>
    </w:p>
    <w:p w14:paraId="0A998A2B" w14:textId="77777777" w:rsidR="000B3302" w:rsidRPr="00EE63AD" w:rsidRDefault="000B3302" w:rsidP="00EE63A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EE63AD">
        <w:rPr>
          <w:rFonts w:ascii="Garamond" w:hAnsi="Garamond"/>
        </w:rPr>
        <w:t>Mínimo sugerido: 300 observaciones. Si la fuente real tiene menos, justificarlo.</w:t>
      </w:r>
    </w:p>
    <w:p w14:paraId="3F5640A7" w14:textId="77777777" w:rsidR="000B3302" w:rsidRPr="00EE63AD" w:rsidRDefault="000B3302" w:rsidP="00EE63A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EE63AD">
        <w:rPr>
          <w:rFonts w:ascii="Garamond" w:hAnsi="Garamond"/>
        </w:rPr>
        <w:t>Evitar bases extremadamente desbalanceadas: ninguna categoría debería concentrar casi todos los casos.</w:t>
      </w:r>
    </w:p>
    <w:p w14:paraId="6AFB26E0" w14:textId="77777777" w:rsidR="000B3302" w:rsidRPr="00EE63AD" w:rsidRDefault="000B3302" w:rsidP="00EE63A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EE63AD">
        <w:rPr>
          <w:rFonts w:ascii="Garamond" w:hAnsi="Garamond"/>
        </w:rPr>
        <w:t>Identificar fuente, entidad responsable, periodo, unidad de observación y diccionario de variables.</w:t>
      </w:r>
    </w:p>
    <w:p w14:paraId="400F41E8" w14:textId="77777777" w:rsidR="000B3302" w:rsidRPr="00EE63AD" w:rsidRDefault="000B3302" w:rsidP="00EE63AD">
      <w:pPr>
        <w:pStyle w:val="Prrafodelista"/>
        <w:numPr>
          <w:ilvl w:val="0"/>
          <w:numId w:val="7"/>
        </w:numPr>
        <w:spacing w:after="0" w:line="276" w:lineRule="auto"/>
        <w:jc w:val="both"/>
        <w:rPr>
          <w:rFonts w:ascii="Garamond" w:hAnsi="Garamond"/>
        </w:rPr>
      </w:pPr>
      <w:r w:rsidRPr="00EE63AD">
        <w:rPr>
          <w:rFonts w:ascii="Garamond" w:hAnsi="Garamond"/>
        </w:rPr>
        <w:t>No usar una variable ordinal como si fuera nominal, salvo que se justifique muy bien.</w:t>
      </w:r>
    </w:p>
    <w:p w14:paraId="03386C3D" w14:textId="77777777" w:rsidR="00EE63AD" w:rsidRPr="000B3302" w:rsidRDefault="00EE63AD" w:rsidP="000B3302">
      <w:pPr>
        <w:spacing w:after="0" w:line="276" w:lineRule="auto"/>
        <w:jc w:val="both"/>
        <w:rPr>
          <w:rFonts w:ascii="Garamond" w:hAnsi="Garamond"/>
        </w:rPr>
      </w:pPr>
    </w:p>
    <w:p w14:paraId="246035BA" w14:textId="77777777" w:rsidR="000B3302" w:rsidRPr="000B3302" w:rsidRDefault="000B3302" w:rsidP="000B3302">
      <w:pPr>
        <w:spacing w:after="0" w:line="276" w:lineRule="auto"/>
        <w:jc w:val="both"/>
        <w:rPr>
          <w:rFonts w:ascii="Garamond" w:hAnsi="Garamond"/>
          <w:b/>
          <w:bCs/>
          <w:lang w:val="en-US"/>
        </w:rPr>
      </w:pPr>
      <w:r w:rsidRPr="000B3302">
        <w:rPr>
          <w:rFonts w:ascii="Garamond" w:hAnsi="Garamond"/>
          <w:b/>
          <w:bCs/>
          <w:lang w:val="en-US"/>
        </w:rPr>
        <w:t xml:space="preserve">Fuentes </w:t>
      </w:r>
      <w:proofErr w:type="spellStart"/>
      <w:r w:rsidRPr="000B3302">
        <w:rPr>
          <w:rFonts w:ascii="Garamond" w:hAnsi="Garamond"/>
          <w:b/>
          <w:bCs/>
          <w:lang w:val="en-US"/>
        </w:rPr>
        <w:t>sugeridas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96"/>
        <w:gridCol w:w="3624"/>
        <w:gridCol w:w="2508"/>
      </w:tblGrid>
      <w:tr w:rsidR="000B3302" w:rsidRPr="000B3302" w14:paraId="08D17971" w14:textId="77777777" w:rsidTr="00A63BE1">
        <w:trPr>
          <w:jc w:val="center"/>
        </w:trPr>
        <w:tc>
          <w:tcPr>
            <w:tcW w:w="3475" w:type="dxa"/>
            <w:shd w:val="clear" w:color="auto" w:fill="122140"/>
            <w:vAlign w:val="center"/>
          </w:tcPr>
          <w:p w14:paraId="19F9EF3F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>Fuente</w:t>
            </w:r>
          </w:p>
        </w:tc>
        <w:tc>
          <w:tcPr>
            <w:tcW w:w="3475" w:type="dxa"/>
            <w:shd w:val="clear" w:color="auto" w:fill="122140"/>
            <w:vAlign w:val="center"/>
          </w:tcPr>
          <w:p w14:paraId="245C1317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>Enlace</w:t>
            </w:r>
          </w:p>
        </w:tc>
        <w:tc>
          <w:tcPr>
            <w:tcW w:w="3475" w:type="dxa"/>
            <w:shd w:val="clear" w:color="auto" w:fill="122140"/>
            <w:vAlign w:val="center"/>
          </w:tcPr>
          <w:p w14:paraId="7B550C9A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Útil</w:t>
            </w:r>
            <w:proofErr w:type="spellEnd"/>
            <w:r w:rsidRPr="000B3302">
              <w:rPr>
                <w:rFonts w:ascii="Garamond" w:hAnsi="Garamond"/>
                <w:b/>
                <w:lang w:val="en-US"/>
              </w:rPr>
              <w:t xml:space="preserve"> para </w:t>
            </w: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buscar</w:t>
            </w:r>
            <w:proofErr w:type="spellEnd"/>
          </w:p>
        </w:tc>
      </w:tr>
      <w:tr w:rsidR="000B3302" w:rsidRPr="000B3302" w14:paraId="7864C9AD" w14:textId="77777777" w:rsidTr="00A63BE1">
        <w:trPr>
          <w:jc w:val="center"/>
        </w:trPr>
        <w:tc>
          <w:tcPr>
            <w:tcW w:w="3475" w:type="dxa"/>
            <w:vAlign w:val="center"/>
          </w:tcPr>
          <w:p w14:paraId="672CA383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 xml:space="preserve">Datos </w:t>
            </w: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Abiertos</w:t>
            </w:r>
            <w:proofErr w:type="spellEnd"/>
            <w:r w:rsidRPr="000B3302">
              <w:rPr>
                <w:rFonts w:ascii="Garamond" w:hAnsi="Garamond"/>
                <w:b/>
                <w:lang w:val="en-US"/>
              </w:rPr>
              <w:t xml:space="preserve"> Colombia</w:t>
            </w:r>
          </w:p>
        </w:tc>
        <w:tc>
          <w:tcPr>
            <w:tcW w:w="3475" w:type="dxa"/>
            <w:vAlign w:val="center"/>
          </w:tcPr>
          <w:p w14:paraId="3689D306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5">
              <w:r w:rsidRPr="000B3302">
                <w:rPr>
                  <w:rStyle w:val="Hipervnculo"/>
                  <w:rFonts w:ascii="Garamond" w:hAnsi="Garamond"/>
                  <w:lang w:val="en-US"/>
                </w:rPr>
                <w:t>www.datos.gov.co/</w:t>
              </w:r>
            </w:hyperlink>
          </w:p>
        </w:tc>
        <w:tc>
          <w:tcPr>
            <w:tcW w:w="3475" w:type="dxa"/>
            <w:vAlign w:val="center"/>
          </w:tcPr>
          <w:p w14:paraId="60715F60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crédito, cartera, empresas, tasas, contratación, finanzas</w:t>
            </w:r>
          </w:p>
        </w:tc>
      </w:tr>
      <w:tr w:rsidR="000B3302" w:rsidRPr="000B3302" w14:paraId="4DEDC211" w14:textId="77777777" w:rsidTr="00A63BE1">
        <w:trPr>
          <w:jc w:val="center"/>
        </w:trPr>
        <w:tc>
          <w:tcPr>
            <w:tcW w:w="3475" w:type="dxa"/>
            <w:vAlign w:val="center"/>
          </w:tcPr>
          <w:p w14:paraId="4D99EFF4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 xml:space="preserve">DANE · </w:t>
            </w: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Catálogo</w:t>
            </w:r>
            <w:proofErr w:type="spellEnd"/>
            <w:r w:rsidRPr="000B3302">
              <w:rPr>
                <w:rFonts w:ascii="Garamond" w:hAnsi="Garamond"/>
                <w:b/>
                <w:lang w:val="en-US"/>
              </w:rPr>
              <w:t xml:space="preserve"> de </w:t>
            </w: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Microdatos</w:t>
            </w:r>
            <w:proofErr w:type="spellEnd"/>
          </w:p>
        </w:tc>
        <w:tc>
          <w:tcPr>
            <w:tcW w:w="3475" w:type="dxa"/>
            <w:vAlign w:val="center"/>
          </w:tcPr>
          <w:p w14:paraId="25973218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hyperlink r:id="rId6">
              <w:r w:rsidRPr="000B3302">
                <w:rPr>
                  <w:rStyle w:val="Hipervnculo"/>
                  <w:rFonts w:ascii="Garamond" w:hAnsi="Garamond"/>
                </w:rPr>
                <w:t>microdatos.dane.gov.co/</w:t>
              </w:r>
              <w:proofErr w:type="spellStart"/>
              <w:r w:rsidRPr="000B3302">
                <w:rPr>
                  <w:rStyle w:val="Hipervnculo"/>
                  <w:rFonts w:ascii="Garamond" w:hAnsi="Garamond"/>
                </w:rPr>
                <w:t>catalog</w:t>
              </w:r>
              <w:proofErr w:type="spellEnd"/>
              <w:r w:rsidRPr="000B3302">
                <w:rPr>
                  <w:rStyle w:val="Hipervnculo"/>
                  <w:rFonts w:ascii="Garamond" w:hAnsi="Garamond"/>
                </w:rPr>
                <w:t>/central</w:t>
              </w:r>
            </w:hyperlink>
          </w:p>
        </w:tc>
        <w:tc>
          <w:tcPr>
            <w:tcW w:w="3475" w:type="dxa"/>
            <w:vAlign w:val="center"/>
          </w:tcPr>
          <w:p w14:paraId="34697D04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empresas, hogares, empleo, comercio, servicios</w:t>
            </w:r>
          </w:p>
        </w:tc>
      </w:tr>
      <w:tr w:rsidR="000B3302" w:rsidRPr="000B3302" w14:paraId="1A20E1C8" w14:textId="77777777" w:rsidTr="00A63BE1">
        <w:trPr>
          <w:jc w:val="center"/>
        </w:trPr>
        <w:tc>
          <w:tcPr>
            <w:tcW w:w="3475" w:type="dxa"/>
            <w:vAlign w:val="center"/>
          </w:tcPr>
          <w:p w14:paraId="353AE82F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Superintendencia</w:t>
            </w:r>
            <w:proofErr w:type="spellEnd"/>
            <w:r w:rsidRPr="000B3302">
              <w:rPr>
                <w:rFonts w:ascii="Garamond" w:hAnsi="Garamond"/>
                <w:b/>
                <w:lang w:val="en-US"/>
              </w:rPr>
              <w:t xml:space="preserve"> Financiera de Colombia</w:t>
            </w:r>
          </w:p>
        </w:tc>
        <w:tc>
          <w:tcPr>
            <w:tcW w:w="3475" w:type="dxa"/>
            <w:vAlign w:val="center"/>
          </w:tcPr>
          <w:p w14:paraId="2FEA1D08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7">
              <w:r w:rsidRPr="000B3302">
                <w:rPr>
                  <w:rStyle w:val="Hipervnculo"/>
                  <w:rFonts w:ascii="Garamond" w:hAnsi="Garamond"/>
                  <w:lang w:val="en-US"/>
                </w:rPr>
                <w:t>www.superfinanciera.gov.co/</w:t>
              </w:r>
            </w:hyperlink>
          </w:p>
        </w:tc>
        <w:tc>
          <w:tcPr>
            <w:tcW w:w="3475" w:type="dxa"/>
            <w:vAlign w:val="center"/>
          </w:tcPr>
          <w:p w14:paraId="43687A19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bancos, cartera, tasas, tarjetas, seguros, fondos</w:t>
            </w:r>
          </w:p>
        </w:tc>
      </w:tr>
      <w:tr w:rsidR="000B3302" w:rsidRPr="000B3302" w14:paraId="7E954A4B" w14:textId="77777777" w:rsidTr="00A63BE1">
        <w:trPr>
          <w:jc w:val="center"/>
        </w:trPr>
        <w:tc>
          <w:tcPr>
            <w:tcW w:w="3475" w:type="dxa"/>
            <w:vAlign w:val="center"/>
          </w:tcPr>
          <w:p w14:paraId="7A82812E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  <w:b/>
              </w:rPr>
              <w:t>Banco de la República · Estadísticas económicas</w:t>
            </w:r>
          </w:p>
        </w:tc>
        <w:tc>
          <w:tcPr>
            <w:tcW w:w="3475" w:type="dxa"/>
            <w:vAlign w:val="center"/>
          </w:tcPr>
          <w:p w14:paraId="7BA2C582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hyperlink r:id="rId8">
              <w:r w:rsidRPr="000B3302">
                <w:rPr>
                  <w:rStyle w:val="Hipervnculo"/>
                  <w:rFonts w:ascii="Garamond" w:hAnsi="Garamond"/>
                </w:rPr>
                <w:t>www.banrep.gov.co/es/estadisticas-economicas</w:t>
              </w:r>
            </w:hyperlink>
          </w:p>
        </w:tc>
        <w:tc>
          <w:tcPr>
            <w:tcW w:w="3475" w:type="dxa"/>
            <w:vAlign w:val="center"/>
          </w:tcPr>
          <w:p w14:paraId="2E7FF98C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TRM, tasas, inflación, crédito, series macro</w:t>
            </w:r>
          </w:p>
        </w:tc>
      </w:tr>
      <w:tr w:rsidR="000B3302" w:rsidRPr="000B3302" w14:paraId="72500D91" w14:textId="77777777" w:rsidTr="00A63BE1">
        <w:trPr>
          <w:jc w:val="center"/>
        </w:trPr>
        <w:tc>
          <w:tcPr>
            <w:tcW w:w="3475" w:type="dxa"/>
            <w:vAlign w:val="center"/>
          </w:tcPr>
          <w:p w14:paraId="405028AA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>OECD Data Explorer</w:t>
            </w:r>
          </w:p>
        </w:tc>
        <w:tc>
          <w:tcPr>
            <w:tcW w:w="3475" w:type="dxa"/>
            <w:vAlign w:val="center"/>
          </w:tcPr>
          <w:p w14:paraId="5E34E0B1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9">
              <w:r w:rsidRPr="000B3302">
                <w:rPr>
                  <w:rStyle w:val="Hipervnculo"/>
                  <w:rFonts w:ascii="Garamond" w:hAnsi="Garamond"/>
                  <w:lang w:val="en-US"/>
                </w:rPr>
                <w:t>data-explorer.oecd.org/</w:t>
              </w:r>
            </w:hyperlink>
          </w:p>
        </w:tc>
        <w:tc>
          <w:tcPr>
            <w:tcW w:w="3475" w:type="dxa"/>
            <w:vAlign w:val="center"/>
          </w:tcPr>
          <w:p w14:paraId="2D9CC576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países, años, productividad, deuda, inversión, mercado laboral</w:t>
            </w:r>
          </w:p>
        </w:tc>
      </w:tr>
      <w:tr w:rsidR="000B3302" w:rsidRPr="000B3302" w14:paraId="0568D4B2" w14:textId="77777777" w:rsidTr="00A63BE1">
        <w:trPr>
          <w:jc w:val="center"/>
        </w:trPr>
        <w:tc>
          <w:tcPr>
            <w:tcW w:w="3475" w:type="dxa"/>
            <w:vAlign w:val="center"/>
          </w:tcPr>
          <w:p w14:paraId="04255B61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 xml:space="preserve">World Bank </w:t>
            </w:r>
            <w:proofErr w:type="spellStart"/>
            <w:r w:rsidRPr="000B3302">
              <w:rPr>
                <w:rFonts w:ascii="Garamond" w:hAnsi="Garamond"/>
                <w:b/>
                <w:lang w:val="en-US"/>
              </w:rPr>
              <w:t>DataBank</w:t>
            </w:r>
            <w:proofErr w:type="spellEnd"/>
          </w:p>
        </w:tc>
        <w:tc>
          <w:tcPr>
            <w:tcW w:w="3475" w:type="dxa"/>
            <w:vAlign w:val="center"/>
          </w:tcPr>
          <w:p w14:paraId="282F5AB4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10">
              <w:r w:rsidRPr="000B3302">
                <w:rPr>
                  <w:rStyle w:val="Hipervnculo"/>
                  <w:rFonts w:ascii="Garamond" w:hAnsi="Garamond"/>
                  <w:lang w:val="en-US"/>
                </w:rPr>
                <w:t>databank.worldbank.org/</w:t>
              </w:r>
            </w:hyperlink>
          </w:p>
        </w:tc>
        <w:tc>
          <w:tcPr>
            <w:tcW w:w="3475" w:type="dxa"/>
            <w:vAlign w:val="center"/>
          </w:tcPr>
          <w:p w14:paraId="3BB7634A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país × año, desarrollo financiero, crédito, comercio</w:t>
            </w:r>
          </w:p>
        </w:tc>
      </w:tr>
      <w:tr w:rsidR="000B3302" w:rsidRPr="000B3302" w14:paraId="583F3C02" w14:textId="77777777" w:rsidTr="00A63BE1">
        <w:trPr>
          <w:jc w:val="center"/>
        </w:trPr>
        <w:tc>
          <w:tcPr>
            <w:tcW w:w="3475" w:type="dxa"/>
            <w:vAlign w:val="center"/>
          </w:tcPr>
          <w:p w14:paraId="21B456BB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>IMF Data</w:t>
            </w:r>
          </w:p>
        </w:tc>
        <w:tc>
          <w:tcPr>
            <w:tcW w:w="3475" w:type="dxa"/>
            <w:vAlign w:val="center"/>
          </w:tcPr>
          <w:p w14:paraId="1E7001E7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11">
              <w:r w:rsidRPr="000B3302">
                <w:rPr>
                  <w:rStyle w:val="Hipervnculo"/>
                  <w:rFonts w:ascii="Garamond" w:hAnsi="Garamond"/>
                  <w:lang w:val="en-US"/>
                </w:rPr>
                <w:t>data.imf.org/</w:t>
              </w:r>
              <w:proofErr w:type="spellStart"/>
              <w:r w:rsidRPr="000B3302">
                <w:rPr>
                  <w:rStyle w:val="Hipervnculo"/>
                  <w:rFonts w:ascii="Garamond" w:hAnsi="Garamond"/>
                  <w:lang w:val="en-US"/>
                </w:rPr>
                <w:t>en</w:t>
              </w:r>
              <w:proofErr w:type="spellEnd"/>
            </w:hyperlink>
          </w:p>
        </w:tc>
        <w:tc>
          <w:tcPr>
            <w:tcW w:w="3475" w:type="dxa"/>
            <w:vAlign w:val="center"/>
          </w:tcPr>
          <w:p w14:paraId="4A05B6B6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PIB, inflación, tipo de cambio, deuda, balanza de pagos</w:t>
            </w:r>
          </w:p>
        </w:tc>
      </w:tr>
      <w:tr w:rsidR="000B3302" w:rsidRPr="000B3302" w14:paraId="22AD9720" w14:textId="77777777" w:rsidTr="00A63BE1">
        <w:trPr>
          <w:jc w:val="center"/>
        </w:trPr>
        <w:tc>
          <w:tcPr>
            <w:tcW w:w="3475" w:type="dxa"/>
            <w:vAlign w:val="center"/>
          </w:tcPr>
          <w:p w14:paraId="0CEDF50B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lastRenderedPageBreak/>
              <w:t>FRED</w:t>
            </w:r>
          </w:p>
        </w:tc>
        <w:tc>
          <w:tcPr>
            <w:tcW w:w="3475" w:type="dxa"/>
            <w:vAlign w:val="center"/>
          </w:tcPr>
          <w:p w14:paraId="1FDE5215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12">
              <w:r w:rsidRPr="000B3302">
                <w:rPr>
                  <w:rStyle w:val="Hipervnculo"/>
                  <w:rFonts w:ascii="Garamond" w:hAnsi="Garamond"/>
                  <w:lang w:val="en-US"/>
                </w:rPr>
                <w:t>fred.stlouisfed.org/</w:t>
              </w:r>
            </w:hyperlink>
          </w:p>
        </w:tc>
        <w:tc>
          <w:tcPr>
            <w:tcW w:w="3475" w:type="dxa"/>
            <w:vAlign w:val="center"/>
          </w:tcPr>
          <w:p w14:paraId="2EFFB41D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tasas, spreads, inflación, actividad económica, mercados</w:t>
            </w:r>
          </w:p>
        </w:tc>
      </w:tr>
      <w:tr w:rsidR="000B3302" w:rsidRPr="000B3302" w14:paraId="05D7FCA3" w14:textId="77777777" w:rsidTr="00A63BE1">
        <w:trPr>
          <w:jc w:val="center"/>
        </w:trPr>
        <w:tc>
          <w:tcPr>
            <w:tcW w:w="3475" w:type="dxa"/>
            <w:vAlign w:val="center"/>
          </w:tcPr>
          <w:p w14:paraId="788B7140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>Our World in Data</w:t>
            </w:r>
          </w:p>
        </w:tc>
        <w:tc>
          <w:tcPr>
            <w:tcW w:w="3475" w:type="dxa"/>
            <w:vAlign w:val="center"/>
          </w:tcPr>
          <w:p w14:paraId="1884A128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13">
              <w:r w:rsidRPr="000B3302">
                <w:rPr>
                  <w:rStyle w:val="Hipervnculo"/>
                  <w:rFonts w:ascii="Garamond" w:hAnsi="Garamond"/>
                  <w:lang w:val="en-US"/>
                </w:rPr>
                <w:t>ourworldindata.org/explorers</w:t>
              </w:r>
            </w:hyperlink>
          </w:p>
        </w:tc>
        <w:tc>
          <w:tcPr>
            <w:tcW w:w="3475" w:type="dxa"/>
            <w:vAlign w:val="center"/>
          </w:tcPr>
          <w:p w14:paraId="33274D94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indicadores económicos, sociales, ambientales y energéticos</w:t>
            </w:r>
          </w:p>
        </w:tc>
      </w:tr>
      <w:tr w:rsidR="000B3302" w:rsidRPr="000B3302" w14:paraId="577E93AF" w14:textId="77777777" w:rsidTr="00A63BE1">
        <w:trPr>
          <w:jc w:val="center"/>
        </w:trPr>
        <w:tc>
          <w:tcPr>
            <w:tcW w:w="3475" w:type="dxa"/>
            <w:vAlign w:val="center"/>
          </w:tcPr>
          <w:p w14:paraId="4A03B2D6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r w:rsidRPr="000B3302">
              <w:rPr>
                <w:rFonts w:ascii="Garamond" w:hAnsi="Garamond"/>
                <w:b/>
                <w:lang w:val="en-US"/>
              </w:rPr>
              <w:t>Kaggle Datasets</w:t>
            </w:r>
          </w:p>
        </w:tc>
        <w:tc>
          <w:tcPr>
            <w:tcW w:w="3475" w:type="dxa"/>
            <w:vAlign w:val="center"/>
          </w:tcPr>
          <w:p w14:paraId="0AF0895F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  <w:lang w:val="en-US"/>
              </w:rPr>
            </w:pPr>
            <w:hyperlink r:id="rId14">
              <w:r w:rsidRPr="000B3302">
                <w:rPr>
                  <w:rStyle w:val="Hipervnculo"/>
                  <w:rFonts w:ascii="Garamond" w:hAnsi="Garamond"/>
                  <w:lang w:val="en-US"/>
                </w:rPr>
                <w:t>www.kaggle.com/datasets</w:t>
              </w:r>
            </w:hyperlink>
          </w:p>
        </w:tc>
        <w:tc>
          <w:tcPr>
            <w:tcW w:w="3475" w:type="dxa"/>
            <w:vAlign w:val="center"/>
          </w:tcPr>
          <w:p w14:paraId="48D2BBE1" w14:textId="77777777" w:rsidR="000B3302" w:rsidRPr="000B3302" w:rsidRDefault="000B3302" w:rsidP="000B3302">
            <w:pPr>
              <w:spacing w:line="276" w:lineRule="auto"/>
              <w:jc w:val="both"/>
              <w:rPr>
                <w:rFonts w:ascii="Garamond" w:hAnsi="Garamond"/>
              </w:rPr>
            </w:pPr>
            <w:r w:rsidRPr="000B3302">
              <w:rPr>
                <w:rFonts w:ascii="Garamond" w:hAnsi="Garamond"/>
              </w:rPr>
              <w:t>usar solo si se identifica la fuente original</w:t>
            </w:r>
          </w:p>
        </w:tc>
      </w:tr>
    </w:tbl>
    <w:p w14:paraId="7FFE61A6" w14:textId="77777777" w:rsidR="000B3302" w:rsidRPr="008A2178" w:rsidRDefault="000B3302" w:rsidP="000B3302">
      <w:pPr>
        <w:spacing w:after="0" w:line="276" w:lineRule="auto"/>
        <w:jc w:val="both"/>
        <w:rPr>
          <w:rFonts w:ascii="Garamond" w:hAnsi="Garamond"/>
        </w:rPr>
      </w:pPr>
    </w:p>
    <w:p w14:paraId="632D6C9B" w14:textId="48609EAC" w:rsidR="00443878" w:rsidRDefault="00443878" w:rsidP="000B3302">
      <w:pPr>
        <w:spacing w:after="0" w:line="276" w:lineRule="auto"/>
        <w:jc w:val="both"/>
        <w:rPr>
          <w:rFonts w:ascii="Garamond" w:hAnsi="Garamond"/>
        </w:rPr>
      </w:pPr>
    </w:p>
    <w:p w14:paraId="27BEEE00" w14:textId="77777777" w:rsidR="00D45160" w:rsidRDefault="00D45160" w:rsidP="00D45160">
      <w:pPr>
        <w:spacing w:after="0" w:line="276" w:lineRule="auto"/>
        <w:jc w:val="both"/>
        <w:rPr>
          <w:rFonts w:ascii="Garamond" w:hAnsi="Garamond"/>
          <w:b/>
          <w:bCs/>
        </w:rPr>
      </w:pPr>
      <w:r w:rsidRPr="00D45160">
        <w:rPr>
          <w:rFonts w:ascii="Garamond" w:hAnsi="Garamond"/>
          <w:b/>
          <w:bCs/>
        </w:rPr>
        <w:t>Pasos mínimos del análisis</w:t>
      </w:r>
    </w:p>
    <w:p w14:paraId="514D47F2" w14:textId="77777777" w:rsidR="00D45160" w:rsidRPr="00D45160" w:rsidRDefault="00D45160" w:rsidP="00D45160">
      <w:pPr>
        <w:spacing w:after="0" w:line="276" w:lineRule="auto"/>
        <w:jc w:val="both"/>
        <w:rPr>
          <w:rFonts w:ascii="Garamond" w:hAnsi="Garamond"/>
          <w:b/>
          <w:bCs/>
        </w:rPr>
      </w:pPr>
    </w:p>
    <w:p w14:paraId="62BD2F8B" w14:textId="2C7A5C10" w:rsidR="00D45160" w:rsidRPr="00D45160" w:rsidRDefault="00D45160" w:rsidP="00D45160">
      <w:pPr>
        <w:spacing w:after="0" w:line="276" w:lineRule="auto"/>
        <w:jc w:val="both"/>
        <w:rPr>
          <w:rFonts w:ascii="Garamond" w:hAnsi="Garamond"/>
        </w:rPr>
      </w:pPr>
      <w:r w:rsidRPr="00D45160">
        <w:rPr>
          <w:rFonts w:ascii="Garamond" w:hAnsi="Garamond"/>
          <w:b/>
        </w:rPr>
        <w:t xml:space="preserve">1. Pregunta y alternativas: </w:t>
      </w:r>
      <w:r w:rsidRPr="00D45160">
        <w:rPr>
          <w:rFonts w:ascii="Garamond" w:hAnsi="Garamond"/>
        </w:rPr>
        <w:t>Defina la decisión a modelar, las categorías de Y. Fije la categoría base.</w:t>
      </w:r>
    </w:p>
    <w:p w14:paraId="0ED5D485" w14:textId="45D16AC2" w:rsidR="00D45160" w:rsidRPr="00D45160" w:rsidRDefault="00D45160" w:rsidP="00D45160">
      <w:pPr>
        <w:spacing w:after="0" w:line="276" w:lineRule="auto"/>
        <w:jc w:val="both"/>
        <w:rPr>
          <w:rFonts w:ascii="Garamond" w:hAnsi="Garamond"/>
        </w:rPr>
      </w:pPr>
      <w:r w:rsidRPr="00D45160">
        <w:rPr>
          <w:rFonts w:ascii="Garamond" w:hAnsi="Garamond"/>
          <w:b/>
        </w:rPr>
        <w:t xml:space="preserve">2. </w:t>
      </w:r>
      <w:r w:rsidR="007E2383">
        <w:rPr>
          <w:rFonts w:ascii="Garamond" w:hAnsi="Garamond"/>
          <w:b/>
        </w:rPr>
        <w:t>Descriptivas</w:t>
      </w:r>
      <w:r w:rsidRPr="00D45160">
        <w:rPr>
          <w:rFonts w:ascii="Garamond" w:hAnsi="Garamond"/>
          <w:b/>
        </w:rPr>
        <w:t xml:space="preserve">: </w:t>
      </w:r>
      <w:r w:rsidR="007E2383">
        <w:rPr>
          <w:rFonts w:ascii="Garamond" w:hAnsi="Garamond"/>
        </w:rPr>
        <w:t>Genere las estadísticas descriptivas necesarias para introducir el problema a modelar</w:t>
      </w:r>
      <w:r w:rsidRPr="00D45160">
        <w:rPr>
          <w:rFonts w:ascii="Garamond" w:hAnsi="Garamond"/>
        </w:rPr>
        <w:t>.</w:t>
      </w:r>
    </w:p>
    <w:p w14:paraId="3C46B0CF" w14:textId="3577262F" w:rsidR="00D45160" w:rsidRPr="00D45160" w:rsidRDefault="00D45160" w:rsidP="00D45160">
      <w:pPr>
        <w:spacing w:after="0" w:line="276" w:lineRule="auto"/>
        <w:jc w:val="both"/>
        <w:rPr>
          <w:rFonts w:ascii="Garamond" w:hAnsi="Garamond"/>
        </w:rPr>
      </w:pPr>
      <w:r w:rsidRPr="00D45160">
        <w:rPr>
          <w:rFonts w:ascii="Garamond" w:hAnsi="Garamond"/>
          <w:b/>
        </w:rPr>
        <w:t xml:space="preserve">3. Estimación MNL: </w:t>
      </w:r>
      <w:r w:rsidRPr="00D45160">
        <w:rPr>
          <w:rFonts w:ascii="Garamond" w:hAnsi="Garamond"/>
        </w:rPr>
        <w:t xml:space="preserve">Estime y ~ x1 + x2 + ... con </w:t>
      </w:r>
      <w:proofErr w:type="spellStart"/>
      <w:proofErr w:type="gramStart"/>
      <w:r w:rsidRPr="00D45160">
        <w:rPr>
          <w:rFonts w:ascii="Garamond" w:hAnsi="Garamond"/>
        </w:rPr>
        <w:t>nnet</w:t>
      </w:r>
      <w:proofErr w:type="spellEnd"/>
      <w:r w:rsidRPr="00D45160">
        <w:rPr>
          <w:rFonts w:ascii="Garamond" w:hAnsi="Garamond"/>
        </w:rPr>
        <w:t>::</w:t>
      </w:r>
      <w:proofErr w:type="spellStart"/>
      <w:proofErr w:type="gramEnd"/>
      <w:r w:rsidRPr="00D45160">
        <w:rPr>
          <w:rFonts w:ascii="Garamond" w:hAnsi="Garamond"/>
        </w:rPr>
        <w:t>multinom</w:t>
      </w:r>
      <w:proofErr w:type="spellEnd"/>
      <w:r w:rsidRPr="00D45160">
        <w:rPr>
          <w:rFonts w:ascii="Garamond" w:hAnsi="Garamond"/>
        </w:rPr>
        <w:t xml:space="preserve"> o una función equivalente.</w:t>
      </w:r>
    </w:p>
    <w:p w14:paraId="7EF9BB67" w14:textId="77777777" w:rsidR="00D45160" w:rsidRPr="00D45160" w:rsidRDefault="00D45160" w:rsidP="00D45160">
      <w:pPr>
        <w:spacing w:after="0" w:line="276" w:lineRule="auto"/>
        <w:jc w:val="both"/>
        <w:rPr>
          <w:rFonts w:ascii="Garamond" w:hAnsi="Garamond"/>
        </w:rPr>
      </w:pPr>
      <w:r w:rsidRPr="00D45160">
        <w:rPr>
          <w:rFonts w:ascii="Garamond" w:hAnsi="Garamond"/>
          <w:b/>
        </w:rPr>
        <w:t xml:space="preserve">4. Resultados e interpretación: </w:t>
      </w:r>
      <w:r w:rsidRPr="00D45160">
        <w:rPr>
          <w:rFonts w:ascii="Garamond" w:hAnsi="Garamond"/>
        </w:rPr>
        <w:t xml:space="preserve">Reporte coeficientes, </w:t>
      </w:r>
      <w:proofErr w:type="spellStart"/>
      <w:r w:rsidRPr="00D45160">
        <w:rPr>
          <w:rFonts w:ascii="Garamond" w:hAnsi="Garamond"/>
        </w:rPr>
        <w:t>odds</w:t>
      </w:r>
      <w:proofErr w:type="spellEnd"/>
      <w:r w:rsidRPr="00D45160">
        <w:rPr>
          <w:rFonts w:ascii="Garamond" w:hAnsi="Garamond"/>
        </w:rPr>
        <w:t xml:space="preserve"> ratios y p-valores. </w:t>
      </w:r>
      <w:r w:rsidRPr="00C3762C">
        <w:rPr>
          <w:rFonts w:ascii="Garamond" w:hAnsi="Garamond"/>
          <w:highlight w:val="yellow"/>
        </w:rPr>
        <w:t>Interprete cada resultado contra la categoría base</w:t>
      </w:r>
      <w:r w:rsidRPr="00D45160">
        <w:rPr>
          <w:rFonts w:ascii="Garamond" w:hAnsi="Garamond"/>
        </w:rPr>
        <w:t>.</w:t>
      </w:r>
    </w:p>
    <w:p w14:paraId="4D976630" w14:textId="77777777" w:rsidR="00D45160" w:rsidRPr="00D45160" w:rsidRDefault="00D45160" w:rsidP="00D45160">
      <w:pPr>
        <w:spacing w:after="0" w:line="276" w:lineRule="auto"/>
        <w:jc w:val="both"/>
        <w:rPr>
          <w:rFonts w:ascii="Garamond" w:hAnsi="Garamond"/>
        </w:rPr>
      </w:pPr>
      <w:r w:rsidRPr="00D45160">
        <w:rPr>
          <w:rFonts w:ascii="Garamond" w:hAnsi="Garamond"/>
          <w:b/>
        </w:rPr>
        <w:t xml:space="preserve">5. Probabilidades y efectos marginales: </w:t>
      </w:r>
      <w:r w:rsidRPr="00D45160">
        <w:rPr>
          <w:rFonts w:ascii="Garamond" w:hAnsi="Garamond"/>
        </w:rPr>
        <w:t>Construya perfiles, grafique probabilidades predichas y calcule efectos marginales promedio.</w:t>
      </w:r>
    </w:p>
    <w:p w14:paraId="44381E5F" w14:textId="38569474" w:rsidR="00D45160" w:rsidRPr="004A0005" w:rsidRDefault="00D45160" w:rsidP="00D45160">
      <w:pPr>
        <w:spacing w:after="0" w:line="276" w:lineRule="auto"/>
        <w:jc w:val="both"/>
        <w:rPr>
          <w:rFonts w:ascii="Garamond" w:hAnsi="Garamond"/>
        </w:rPr>
      </w:pPr>
      <w:r w:rsidRPr="00D45160">
        <w:rPr>
          <w:rFonts w:ascii="Garamond" w:hAnsi="Garamond"/>
          <w:b/>
        </w:rPr>
        <w:t>6. Decisión y escenario:</w:t>
      </w:r>
      <w:r w:rsidR="007E2383">
        <w:rPr>
          <w:rFonts w:ascii="Garamond" w:hAnsi="Garamond"/>
        </w:rPr>
        <w:t xml:space="preserve"> Concluya sobre </w:t>
      </w:r>
      <w:r w:rsidR="004A0005">
        <w:rPr>
          <w:rFonts w:ascii="Garamond" w:hAnsi="Garamond"/>
        </w:rPr>
        <w:t>los resultados del modelo en función de la pregunta problema que modeló</w:t>
      </w:r>
      <w:r w:rsidRPr="004A0005">
        <w:rPr>
          <w:rFonts w:ascii="Garamond" w:hAnsi="Garamond"/>
        </w:rPr>
        <w:t>.</w:t>
      </w:r>
    </w:p>
    <w:p w14:paraId="67DF7DD1" w14:textId="77777777" w:rsidR="00EE63AD" w:rsidRDefault="00EE63AD" w:rsidP="000B3302">
      <w:pPr>
        <w:spacing w:after="0" w:line="276" w:lineRule="auto"/>
        <w:jc w:val="both"/>
        <w:rPr>
          <w:rFonts w:ascii="Garamond" w:hAnsi="Garamond"/>
        </w:rPr>
      </w:pPr>
    </w:p>
    <w:p w14:paraId="59EF6E26" w14:textId="77777777" w:rsidR="00EE63AD" w:rsidRDefault="00EE63AD" w:rsidP="000B3302">
      <w:pPr>
        <w:spacing w:after="0" w:line="276" w:lineRule="auto"/>
        <w:jc w:val="both"/>
        <w:rPr>
          <w:rFonts w:ascii="Garamond" w:hAnsi="Garamond"/>
        </w:rPr>
      </w:pPr>
    </w:p>
    <w:p w14:paraId="27078DF9" w14:textId="77777777" w:rsidR="00EE63AD" w:rsidRPr="008A2178" w:rsidRDefault="00EE63AD" w:rsidP="000B3302">
      <w:pPr>
        <w:spacing w:after="0" w:line="276" w:lineRule="auto"/>
        <w:jc w:val="both"/>
        <w:rPr>
          <w:rFonts w:ascii="Garamond" w:hAnsi="Garamond"/>
        </w:rPr>
      </w:pPr>
    </w:p>
    <w:p w14:paraId="32F1D8FB" w14:textId="77777777" w:rsidR="00443878" w:rsidRPr="003D3BEA" w:rsidRDefault="00443878" w:rsidP="000B3302">
      <w:pPr>
        <w:spacing w:after="0" w:line="276" w:lineRule="auto"/>
        <w:jc w:val="both"/>
        <w:rPr>
          <w:rFonts w:ascii="Garamond" w:hAnsi="Garamond"/>
          <w:b/>
          <w:bCs/>
        </w:rPr>
      </w:pPr>
      <w:r w:rsidRPr="003D3BEA">
        <w:rPr>
          <w:rFonts w:ascii="Garamond" w:hAnsi="Garamond"/>
          <w:b/>
          <w:bCs/>
        </w:rPr>
        <w:t>Entrega</w:t>
      </w:r>
    </w:p>
    <w:p w14:paraId="031DE057" w14:textId="548469AD" w:rsidR="00443878" w:rsidRPr="008A2178" w:rsidRDefault="00443878" w:rsidP="000B3302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 xml:space="preserve">Informe ejecutivo de máximo </w:t>
      </w:r>
      <w:r w:rsidR="00DB5BA7">
        <w:rPr>
          <w:rFonts w:ascii="Garamond" w:hAnsi="Garamond"/>
        </w:rPr>
        <w:t>6</w:t>
      </w:r>
      <w:r w:rsidRPr="008A2178">
        <w:rPr>
          <w:rFonts w:ascii="Garamond" w:hAnsi="Garamond"/>
        </w:rPr>
        <w:t xml:space="preserve"> páginas</w:t>
      </w:r>
      <w:r w:rsidR="00C24C18">
        <w:rPr>
          <w:rFonts w:ascii="Garamond" w:hAnsi="Garamond"/>
        </w:rPr>
        <w:t xml:space="preserve">, </w:t>
      </w:r>
      <w:proofErr w:type="spellStart"/>
      <w:r w:rsidR="00C24C18">
        <w:rPr>
          <w:rFonts w:ascii="Garamond" w:hAnsi="Garamond"/>
        </w:rPr>
        <w:t>pdf</w:t>
      </w:r>
      <w:proofErr w:type="spellEnd"/>
      <w:r w:rsidR="00C24C18">
        <w:rPr>
          <w:rFonts w:ascii="Garamond" w:hAnsi="Garamond"/>
        </w:rPr>
        <w:t>.</w:t>
      </w:r>
    </w:p>
    <w:p w14:paraId="2C342433" w14:textId="77777777" w:rsidR="00443878" w:rsidRPr="008A2178" w:rsidRDefault="00443878" w:rsidP="000B3302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No se requiere portada; incluyan los integrantes al inicio.</w:t>
      </w:r>
    </w:p>
    <w:p w14:paraId="675D9404" w14:textId="77777777" w:rsidR="00443878" w:rsidRPr="008A2178" w:rsidRDefault="00443878" w:rsidP="000B3302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 xml:space="preserve">Código reproducible en </w:t>
      </w:r>
      <w:proofErr w:type="gramStart"/>
      <w:r w:rsidRPr="008A2178">
        <w:rPr>
          <w:rFonts w:ascii="Garamond" w:hAnsi="Garamond"/>
        </w:rPr>
        <w:t>archivo .</w:t>
      </w:r>
      <w:proofErr w:type="spellStart"/>
      <w:r w:rsidRPr="008A2178">
        <w:rPr>
          <w:rFonts w:ascii="Garamond" w:hAnsi="Garamond"/>
        </w:rPr>
        <w:t>Rmd</w:t>
      </w:r>
      <w:proofErr w:type="spellEnd"/>
      <w:proofErr w:type="gramEnd"/>
      <w:r w:rsidRPr="008A2178">
        <w:rPr>
          <w:rFonts w:ascii="Garamond" w:hAnsi="Garamond"/>
        </w:rPr>
        <w:t xml:space="preserve"> </w:t>
      </w:r>
      <w:proofErr w:type="gramStart"/>
      <w:r w:rsidRPr="008A2178">
        <w:rPr>
          <w:rFonts w:ascii="Garamond" w:hAnsi="Garamond"/>
        </w:rPr>
        <w:t>o .R</w:t>
      </w:r>
      <w:proofErr w:type="gramEnd"/>
      <w:r w:rsidRPr="008A2178">
        <w:rPr>
          <w:rFonts w:ascii="Garamond" w:hAnsi="Garamond"/>
        </w:rPr>
        <w:t>, entregado por separado.</w:t>
      </w:r>
    </w:p>
    <w:p w14:paraId="1AFD7093" w14:textId="3239CF5D" w:rsidR="00443878" w:rsidRPr="008A2178" w:rsidRDefault="00443878" w:rsidP="000B3302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>Incluyan únicamente tablas</w:t>
      </w:r>
      <w:r w:rsidR="00C24C18">
        <w:rPr>
          <w:rFonts w:ascii="Garamond" w:hAnsi="Garamond"/>
        </w:rPr>
        <w:t>, figuras</w:t>
      </w:r>
      <w:r w:rsidRPr="008A2178">
        <w:rPr>
          <w:rFonts w:ascii="Garamond" w:hAnsi="Garamond"/>
        </w:rPr>
        <w:t xml:space="preserve"> y resultados necesarios para sustentar el análisis y la decisión.</w:t>
      </w:r>
    </w:p>
    <w:p w14:paraId="07D46856" w14:textId="77777777" w:rsidR="00443878" w:rsidRPr="008A2178" w:rsidRDefault="00443878" w:rsidP="000B3302">
      <w:pPr>
        <w:numPr>
          <w:ilvl w:val="0"/>
          <w:numId w:val="6"/>
        </w:numPr>
        <w:spacing w:after="0" w:line="276" w:lineRule="auto"/>
        <w:jc w:val="both"/>
        <w:rPr>
          <w:rFonts w:ascii="Garamond" w:hAnsi="Garamond"/>
        </w:rPr>
      </w:pPr>
      <w:r w:rsidRPr="008A2178">
        <w:rPr>
          <w:rFonts w:ascii="Garamond" w:hAnsi="Garamond"/>
        </w:rPr>
        <w:t xml:space="preserve">No incluyan capturas de consola, bloques extensos de código ni salidas completas de </w:t>
      </w:r>
      <w:proofErr w:type="spellStart"/>
      <w:proofErr w:type="gramStart"/>
      <w:r w:rsidRPr="008A2178">
        <w:rPr>
          <w:rFonts w:ascii="Garamond" w:hAnsi="Garamond"/>
        </w:rPr>
        <w:t>summary</w:t>
      </w:r>
      <w:proofErr w:type="spellEnd"/>
      <w:r w:rsidRPr="008A2178">
        <w:rPr>
          <w:rFonts w:ascii="Garamond" w:hAnsi="Garamond"/>
        </w:rPr>
        <w:t>(</w:t>
      </w:r>
      <w:proofErr w:type="gramEnd"/>
      <w:r w:rsidRPr="008A2178">
        <w:rPr>
          <w:rFonts w:ascii="Garamond" w:hAnsi="Garamond"/>
        </w:rPr>
        <w:t>).</w:t>
      </w:r>
    </w:p>
    <w:p w14:paraId="7E3B5D22" w14:textId="77777777" w:rsidR="00CE6ED3" w:rsidRDefault="00CE6ED3" w:rsidP="000B3302">
      <w:pPr>
        <w:spacing w:after="0" w:line="276" w:lineRule="auto"/>
        <w:jc w:val="both"/>
        <w:rPr>
          <w:rFonts w:ascii="Garamond" w:hAnsi="Garamond"/>
        </w:rPr>
      </w:pPr>
    </w:p>
    <w:p w14:paraId="4E97FE0D" w14:textId="77777777" w:rsidR="00FD118E" w:rsidRDefault="00FD118E" w:rsidP="000B3302">
      <w:pPr>
        <w:spacing w:after="0" w:line="276" w:lineRule="auto"/>
        <w:jc w:val="both"/>
        <w:rPr>
          <w:rFonts w:ascii="Garamond" w:hAnsi="Garamond"/>
        </w:rPr>
      </w:pPr>
    </w:p>
    <w:p w14:paraId="7AB34FCE" w14:textId="3E77350F" w:rsidR="00443878" w:rsidRPr="00FD118E" w:rsidRDefault="00443878" w:rsidP="000B3302">
      <w:pPr>
        <w:spacing w:after="0" w:line="276" w:lineRule="auto"/>
        <w:jc w:val="both"/>
        <w:rPr>
          <w:rFonts w:ascii="Garamond" w:hAnsi="Garamond"/>
          <w:b/>
          <w:bCs/>
        </w:rPr>
      </w:pPr>
      <w:r w:rsidRPr="00FD118E">
        <w:rPr>
          <w:rFonts w:ascii="Garamond" w:hAnsi="Garamond"/>
          <w:b/>
          <w:bCs/>
        </w:rPr>
        <w:t>Estructura sugerida</w:t>
      </w:r>
    </w:p>
    <w:p w14:paraId="4C098440" w14:textId="77777777" w:rsidR="00443878" w:rsidRPr="008A2178" w:rsidRDefault="00443878" w:rsidP="000B3302">
      <w:pPr>
        <w:spacing w:after="0" w:line="276" w:lineRule="auto"/>
        <w:rPr>
          <w:rFonts w:ascii="Garamond" w:hAnsi="Garamond"/>
        </w:rPr>
      </w:pPr>
      <w:r w:rsidRPr="008A2178">
        <w:rPr>
          <w:rFonts w:ascii="Garamond" w:hAnsi="Garamond"/>
        </w:rPr>
        <w:t>1. Problema y comprensión de los datos</w:t>
      </w:r>
      <w:r w:rsidRPr="008A2178">
        <w:rPr>
          <w:rFonts w:ascii="Garamond" w:hAnsi="Garamond"/>
        </w:rPr>
        <w:br/>
        <w:t>2. Exploración y preparación</w:t>
      </w:r>
      <w:r w:rsidRPr="008A2178">
        <w:rPr>
          <w:rFonts w:ascii="Garamond" w:hAnsi="Garamond"/>
        </w:rPr>
        <w:br/>
        <w:t>3. Modelos y validación</w:t>
      </w:r>
      <w:r w:rsidRPr="008A2178">
        <w:rPr>
          <w:rFonts w:ascii="Garamond" w:hAnsi="Garamond"/>
        </w:rPr>
        <w:br/>
        <w:t>4. Comparación de resultados</w:t>
      </w:r>
      <w:r w:rsidRPr="008A2178">
        <w:rPr>
          <w:rFonts w:ascii="Garamond" w:hAnsi="Garamond"/>
        </w:rPr>
        <w:br/>
        <w:t>5. Decisión y conclusión</w:t>
      </w:r>
    </w:p>
    <w:p w14:paraId="0A3CD824" w14:textId="77777777" w:rsidR="00443878" w:rsidRPr="008A2178" w:rsidRDefault="00443878" w:rsidP="000B3302">
      <w:pPr>
        <w:spacing w:after="0" w:line="276" w:lineRule="auto"/>
        <w:jc w:val="both"/>
        <w:rPr>
          <w:rFonts w:ascii="Garamond" w:hAnsi="Garamond"/>
        </w:rPr>
      </w:pPr>
    </w:p>
    <w:sectPr w:rsidR="00443878" w:rsidRPr="008A2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792D"/>
    <w:multiLevelType w:val="multilevel"/>
    <w:tmpl w:val="F5A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19B3"/>
    <w:multiLevelType w:val="multilevel"/>
    <w:tmpl w:val="17F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6781"/>
    <w:multiLevelType w:val="multilevel"/>
    <w:tmpl w:val="0CB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47264"/>
    <w:multiLevelType w:val="multilevel"/>
    <w:tmpl w:val="844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D377D"/>
    <w:multiLevelType w:val="multilevel"/>
    <w:tmpl w:val="F6B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11D14"/>
    <w:multiLevelType w:val="hybridMultilevel"/>
    <w:tmpl w:val="A498F9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B7B24"/>
    <w:multiLevelType w:val="multilevel"/>
    <w:tmpl w:val="D0BC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314755">
    <w:abstractNumId w:val="0"/>
  </w:num>
  <w:num w:numId="2" w16cid:durableId="1793090065">
    <w:abstractNumId w:val="4"/>
  </w:num>
  <w:num w:numId="3" w16cid:durableId="1815755887">
    <w:abstractNumId w:val="6"/>
  </w:num>
  <w:num w:numId="4" w16cid:durableId="1618676864">
    <w:abstractNumId w:val="2"/>
  </w:num>
  <w:num w:numId="5" w16cid:durableId="11495122">
    <w:abstractNumId w:val="1"/>
  </w:num>
  <w:num w:numId="6" w16cid:durableId="162547701">
    <w:abstractNumId w:val="3"/>
  </w:num>
  <w:num w:numId="7" w16cid:durableId="2110928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91"/>
    <w:rsid w:val="00096F4F"/>
    <w:rsid w:val="000B3302"/>
    <w:rsid w:val="000D3505"/>
    <w:rsid w:val="0010051E"/>
    <w:rsid w:val="00152E91"/>
    <w:rsid w:val="001852A9"/>
    <w:rsid w:val="003D3BEA"/>
    <w:rsid w:val="00443878"/>
    <w:rsid w:val="004A0005"/>
    <w:rsid w:val="00542F18"/>
    <w:rsid w:val="00772FA0"/>
    <w:rsid w:val="007E2383"/>
    <w:rsid w:val="00850C8A"/>
    <w:rsid w:val="008A2178"/>
    <w:rsid w:val="00AB6AF0"/>
    <w:rsid w:val="00AC2615"/>
    <w:rsid w:val="00BD75B0"/>
    <w:rsid w:val="00C008A1"/>
    <w:rsid w:val="00C24C18"/>
    <w:rsid w:val="00C3762C"/>
    <w:rsid w:val="00C6163E"/>
    <w:rsid w:val="00CD1034"/>
    <w:rsid w:val="00CE6ED3"/>
    <w:rsid w:val="00D45160"/>
    <w:rsid w:val="00DB5BA7"/>
    <w:rsid w:val="00E729F5"/>
    <w:rsid w:val="00EC7084"/>
    <w:rsid w:val="00EE4454"/>
    <w:rsid w:val="00EE63AD"/>
    <w:rsid w:val="00FD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F5FA"/>
  <w15:chartTrackingRefBased/>
  <w15:docId w15:val="{5B8C12D4-C0E2-4290-B996-6E5BB16B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E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70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08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B3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rep.gov.co/es/estadisticas-economicas" TargetMode="External"/><Relationship Id="rId13" Type="http://schemas.openxmlformats.org/officeDocument/2006/relationships/hyperlink" Target="https://ourworldindata.org/explor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uperfinanciera.gov.co/" TargetMode="External"/><Relationship Id="rId12" Type="http://schemas.openxmlformats.org/officeDocument/2006/relationships/hyperlink" Target="https://fred.stlouisfed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icrodatos.dane.gov.co/catalog/central" TargetMode="External"/><Relationship Id="rId11" Type="http://schemas.openxmlformats.org/officeDocument/2006/relationships/hyperlink" Target="https://data.imf.org/en" TargetMode="External"/><Relationship Id="rId5" Type="http://schemas.openxmlformats.org/officeDocument/2006/relationships/hyperlink" Target="https://www.datos.gov.co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atabank.worldbank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-explorer.oecd.org/" TargetMode="External"/><Relationship Id="rId14" Type="http://schemas.openxmlformats.org/officeDocument/2006/relationships/hyperlink" Target="https://www.kaggle.com/datase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584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Joaqui</dc:creator>
  <cp:keywords/>
  <dc:description/>
  <cp:lastModifiedBy>Orlando Joaqui</cp:lastModifiedBy>
  <cp:revision>25</cp:revision>
  <dcterms:created xsi:type="dcterms:W3CDTF">2026-09-07T21:28:00Z</dcterms:created>
  <dcterms:modified xsi:type="dcterms:W3CDTF">2026-09-22T00:54:00Z</dcterms:modified>
</cp:coreProperties>
</file>