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TAA IC Presentation - Improvement Recommendations</w:t>
      </w:r>
    </w:p>
    <w:p>
      <w:pPr>
        <w:jc w:val="center"/>
      </w:pPr>
      <w:r>
        <w:rPr>
          <w:i/>
        </w:rPr>
        <w:t>Investment Committee Review | Rimac Group | May 2026</w:t>
      </w:r>
    </w:p>
    <w:p/>
    <w:p>
      <w:pPr>
        <w:pStyle w:val="Heading1"/>
        <w:jc w:val="left"/>
      </w:pPr>
      <w:r>
        <w:t>1. Executive Summary</w:t>
      </w:r>
    </w:p>
    <w:p>
      <w:r>
        <w:t>This document reviews the current 10-slide TAA IC Presentation and provides structured recommendations across four dimensions: (i) slide-by-slide content improvements, (ii) academic bibliography to support key methodological assertions, (iii) the case for equal-weight pillar allocation (25/25/25/25), and (iv) a next-steps roadmap. A separate file docs/TAA_Next_Steps.pptx contains the next steps slides to be appended to the presentation.</w:t>
      </w:r>
    </w:p>
    <w:p/>
    <w:p>
      <w:pPr>
        <w:pStyle w:val="Heading1"/>
        <w:jc w:val="left"/>
      </w:pPr>
      <w:r>
        <w:t>2. Slide-by-Slide Improvement Recommendations</w:t>
      </w:r>
    </w:p>
    <w:p>
      <w:pPr>
        <w:pStyle w:val="Heading2"/>
        <w:jc w:val="left"/>
      </w:pPr>
      <w:r>
        <w:t>Slide 1 - Title Slide</w:t>
      </w:r>
    </w:p>
    <w:p>
      <w:pPr>
        <w:pStyle w:val="ListBullet"/>
      </w:pPr>
      <w:r>
        <w:t>Add version number (v5) and exact run date.</w:t>
      </w:r>
    </w:p>
    <w:p>
      <w:pPr>
        <w:pStyle w:val="ListBullet"/>
      </w:pPr>
      <w:r>
        <w:t>Add a one-line system summary tagline: "97 signals - 4 pillars - conviction tilts for 4 insurance portfolios."</w:t>
      </w:r>
    </w:p>
    <w:p>
      <w:pPr>
        <w:pStyle w:val="ListBullet"/>
      </w:pPr>
      <w:r>
        <w:t>Include Rimac Group branding/logo per house style guidelines.</w:t>
      </w:r>
    </w:p>
    <w:p/>
    <w:p>
      <w:pPr>
        <w:pStyle w:val="Heading2"/>
        <w:jc w:val="left"/>
      </w:pPr>
      <w:r>
        <w:t>Slide 2 - TAA System at a Glance</w:t>
      </w:r>
    </w:p>
    <w:p>
      <w:pPr>
        <w:pStyle w:val="ListBullet"/>
      </w:pPr>
      <w:r>
        <w:t>Replace text bullets with a 3-column visual: INPUT (9 Excel sheets) -&gt; PROCESS (signal engine, 4 pillars, composite z, conviction) -&gt; OUTPUT (taa_scorecard.csv, multi_portfolio_views.xlsx, index.html).</w:t>
      </w:r>
    </w:p>
    <w:p>
      <w:pPr>
        <w:pStyle w:val="ListBullet"/>
      </w:pPr>
      <w:r>
        <w:t>ADD: clarify that em_xchina and china_equity were removed as active ACs in May 2026 (12-&gt;10 ACs).</w:t>
      </w:r>
    </w:p>
    <w:p>
      <w:pPr>
        <w:pStyle w:val="ListBullet"/>
      </w:pPr>
      <w:r>
        <w:t>Make the Solvency II / no-short constraint more visually prominent - this is a key institutional differentiator.</w:t>
      </w:r>
    </w:p>
    <w:p>
      <w:pPr>
        <w:pStyle w:val="ListBullet"/>
      </w:pPr>
      <w:r>
        <w:t>Add: "Single source of truth: config/taa_config.xlsx - all signals, weights, and mappings are Excel-controlled."</w:t>
      </w:r>
    </w:p>
    <w:p/>
    <w:p>
      <w:pPr>
        <w:pStyle w:val="Heading2"/>
        <w:jc w:val="left"/>
      </w:pPr>
      <w:r>
        <w:t>Slide 3 - The Four Signal Pillars</w:t>
      </w:r>
    </w:p>
    <w:p>
      <w:pPr>
        <w:pStyle w:val="ListBullet"/>
      </w:pPr>
      <w:r>
        <w:t>MISSING BIBLIOGRAPHY: Each pillar must cite academic support (see Section 3).</w:t>
      </w:r>
    </w:p>
    <w:p>
      <w:pPr>
        <w:pStyle w:val="ListBullet"/>
      </w:pPr>
      <w:r>
        <w:t>PILLAR WEIGHTS: Change to 25%/25%/25%/25% equal weights (see Section 4). Current weights (M=30%, S=20%) require justification.</w:t>
      </w:r>
    </w:p>
    <w:p>
      <w:pPr>
        <w:pStyle w:val="ListBullet"/>
      </w:pPr>
      <w:r>
        <w:t>Add one-line academic anchor per pillar: F-&gt;Grinold &amp; Kahn (2000); M-&gt;Jegadeesh &amp; Titman (1993); S-&gt;Baker &amp; Wurgler (2007); V-&gt;Koijen et al. (2018).</w:t>
      </w:r>
    </w:p>
    <w:p>
      <w:pPr>
        <w:pStyle w:val="ListBullet"/>
      </w:pPr>
      <w:r>
        <w:t>Add small visual icon per pillar (bar chart, arrow, gauge, scale).</w:t>
      </w:r>
    </w:p>
    <w:p/>
    <w:p>
      <w:pPr>
        <w:pStyle w:val="Heading2"/>
        <w:jc w:val="left"/>
      </w:pPr>
      <w:r>
        <w:t>Slide 4 - Signal Normalization Framework</w:t>
      </w:r>
    </w:p>
    <w:p>
      <w:pPr>
        <w:pStyle w:val="ListBullet"/>
      </w:pPr>
      <w:r>
        <w:t>CRITICAL: Add bibliography for each transform (see Section 3.1).</w:t>
      </w:r>
    </w:p>
    <w:p>
      <w:pPr>
        <w:pStyle w:val="ListBullet"/>
      </w:pPr>
      <w:r>
        <w:t>Add a "WHY DIFFERENT Z-SCORES?" box explaining: z-scores differ because each series has different statistical properties (distribution shape, stationarity, economic horizon). The transform is chosen to match these properties, not to produce comparable absolute values.</w:t>
      </w:r>
    </w:p>
    <w:p>
      <w:pPr>
        <w:pStyle w:val="ListBullet"/>
      </w:pPr>
      <w:r>
        <w:t>Add a worked example timeline: PMI=52.0 -&gt; ewma_mean=51.2 -&gt; ewma_std=1.8 -&gt; z=+0.44 (macro slightly above trend). OAS HY=350bps -&gt; 35th pctile of 5Y history -&gt; z=-0.6 (cheap by history).</w:t>
      </w:r>
    </w:p>
    <w:p>
      <w:pPr>
        <w:pStyle w:val="ListBullet"/>
      </w:pPr>
      <w:r>
        <w:t>Add timeline visual: data start 2010 -&gt; warm-up ends 2013 (MIN_DATE) -&gt; signals reliable -&gt; 2026.</w:t>
      </w:r>
    </w:p>
    <w:p>
      <w:pPr>
        <w:pStyle w:val="ListBullet"/>
      </w:pPr>
      <w:r>
        <w:t>Add: "All z-scores winsorized at +-3sigma at signal level AND at pillar level."</w:t>
      </w:r>
    </w:p>
    <w:p/>
    <w:p>
      <w:pPr>
        <w:pStyle w:val="Heading2"/>
        <w:jc w:val="left"/>
      </w:pPr>
      <w:r>
        <w:t>Slide 5 - Fundamentals &amp; Momentum Pillar Detail</w:t>
      </w:r>
    </w:p>
    <w:p>
      <w:pPr>
        <w:pStyle w:val="ListBullet"/>
      </w:pPr>
      <w:r>
        <w:t>Add weight percentages visually next to each signal name.</w:t>
      </w:r>
    </w:p>
    <w:p>
      <w:pPr>
        <w:pStyle w:val="ListBullet"/>
      </w:pPr>
      <w:r>
        <w:t>For Fundamentals: add footnote on GDP blend formula: w=month/12, blend = w*cur_year + (1-w)*nxt_year.</w:t>
      </w:r>
    </w:p>
    <w:p>
      <w:pPr>
        <w:pStyle w:val="ListBullet"/>
      </w:pPr>
      <w:r>
        <w:t>For Momentum: explicitly show price_mom decomposition: 40% x 12-1M + 25% x 3M + 25% x MA(50/200) + 10% x RSI(14).</w:t>
      </w:r>
    </w:p>
    <w:p>
      <w:pPr>
        <w:pStyle w:val="ListBullet"/>
      </w:pPr>
      <w:r>
        <w:t>Add sign convention note: "Positive z = bullish contribution. Sign lives in SignalMapping (Excel), never in Python."</w:t>
      </w:r>
    </w:p>
    <w:p/>
    <w:p>
      <w:pPr>
        <w:pStyle w:val="Heading2"/>
        <w:jc w:val="left"/>
      </w:pPr>
      <w:r>
        <w:t>Slide 6 - Sentiment &amp; Valuation Pillar Detail</w:t>
      </w:r>
    </w:p>
    <w:p>
      <w:pPr>
        <w:pStyle w:val="ListBullet"/>
      </w:pPr>
      <w:r>
        <w:t>For Sentiment: add "CONTRARIAN" label explicitly next to VIX, AAII, PCR signals.</w:t>
      </w:r>
    </w:p>
    <w:p>
      <w:pPr>
        <w:pStyle w:val="ListBullet"/>
      </w:pPr>
      <w:r>
        <w:t>Add PCR (CBOE Put/Call Ratio) - added May 2026 - as a key contrarian equity sentiment signal.</w:t>
      </w:r>
    </w:p>
    <w:p>
      <w:pPr>
        <w:pStyle w:val="ListBullet"/>
      </w:pPr>
      <w:r>
        <w:t>For Valuation: add that OAS levels use pctile (not ewma_z) because OAS is fat-tailed; percentile rank is robust to crisis spikes.</w:t>
      </w:r>
    </w:p>
    <w:p>
      <w:pPr>
        <w:pStyle w:val="ListBullet"/>
      </w:pPr>
      <w:r>
        <w:t>Add Koijen et al. (2018) reference for carry signals (ERP, OAS, yield carry).</w:t>
      </w:r>
    </w:p>
    <w:p/>
    <w:p>
      <w:pPr>
        <w:pStyle w:val="Heading2"/>
        <w:jc w:val="left"/>
      </w:pPr>
      <w:r>
        <w:t>Slide 7 - From Signals to Composite Z-Score</w:t>
      </w:r>
    </w:p>
    <w:p>
      <w:pPr>
        <w:pStyle w:val="ListBullet"/>
      </w:pPr>
      <w:r>
        <w:t>Add re-standardization explanation: after pillar aggregation, standardise_pillar() is called again to restore unit variance (correlated signals reduce composite variance).</w:t>
      </w:r>
    </w:p>
    <w:p>
      <w:pPr>
        <w:pStyle w:val="ListBullet"/>
      </w:pPr>
      <w:r>
        <w:t>Add a visual: 4-bar chart showing hypothetical pillar scores (F=+1.2, M=+0.8, S=-0.3, V=+0.5) -&gt; composite z=+0.8 under equal weights.</w:t>
      </w:r>
    </w:p>
    <w:p>
      <w:pPr>
        <w:pStyle w:val="ListBullet"/>
      </w:pPr>
      <w:r>
        <w:t>Add: SMOOTH_COMPOSITE toggle = "Optional 10-day rolling median to remove holiday/month-end spikes (default: OFF)."</w:t>
      </w:r>
    </w:p>
    <w:p/>
    <w:p>
      <w:pPr>
        <w:pStyle w:val="Heading2"/>
        <w:jc w:val="left"/>
      </w:pPr>
      <w:r>
        <w:t>Slide 8 - Conviction Framework</w:t>
      </w:r>
    </w:p>
    <w:p>
      <w:pPr>
        <w:pStyle w:val="ListBullet"/>
      </w:pPr>
      <w:r>
        <w:t>Add crisis override rule: "When VIX AND MOVE both exceed 80th pctile simultaneously, ALL tilts = 0."</w:t>
      </w:r>
    </w:p>
    <w:p>
      <w:pPr>
        <w:pStyle w:val="ListBullet"/>
      </w:pPr>
      <w:r>
        <w:t>Add Grinold &amp; Kahn (2000) as reference for TE-budget conviction framework.</w:t>
      </w:r>
    </w:p>
    <w:p>
      <w:pPr>
        <w:pStyle w:val="ListBullet"/>
      </w:pPr>
      <w:r>
        <w:t>Add concrete tilt example: "US Equity z=+1.6, 3/4 pillars agree -&gt; Tilt = 1.0 x 0.80 x 5.0% = +4.0% (100bps TE portfolio)."</w:t>
      </w:r>
    </w:p>
    <w:p/>
    <w:p>
      <w:pPr>
        <w:pStyle w:val="Heading2"/>
        <w:jc w:val="left"/>
      </w:pPr>
      <w:r>
        <w:t>Slide 9 - Absolute + Relative Views</w:t>
      </w:r>
    </w:p>
    <w:p>
      <w:pPr>
        <w:pStyle w:val="ListBullet"/>
      </w:pPr>
      <w:r>
        <w:t>GOOD: Wang &amp; Kochard (2012) is cited. Expand: "35/65 blend minimizes out-of-sample TE in multi-asset TAA (Wang &amp; Kochard 2012)."</w:t>
      </w:r>
    </w:p>
    <w:p>
      <w:pPr>
        <w:pStyle w:val="ListBullet"/>
      </w:pPr>
      <w:r>
        <w:t>Add TE scaling formula: tilt_p = tilt_ref x (portfolio_TE / 100bps). Show that IGCON (50bps) gets half the tilt of IGEQUS (125bps).</w:t>
      </w:r>
    </w:p>
    <w:p>
      <w:pPr>
        <w:pStyle w:val="ListBullet"/>
      </w:pPr>
      <w:r>
        <w:t>Add Lee (2000) reference for multi-portfolio TE scaling.</w:t>
      </w:r>
    </w:p>
    <w:p/>
    <w:p>
      <w:pPr>
        <w:pStyle w:val="Heading2"/>
        <w:jc w:val="left"/>
      </w:pPr>
      <w:r>
        <w:t>Slide 10 - Hierarchical Structure &amp; Portfolios</w:t>
      </w:r>
    </w:p>
    <w:p>
      <w:pPr>
        <w:pStyle w:val="ListBullet"/>
      </w:pPr>
      <w:r>
        <w:t>ADD: Full SAA weight table for all 4 Rimac portfolios (MM/STFI/LT EM/US Eq/DM/EM). Currently mentioned but not shown.</w:t>
      </w:r>
    </w:p>
    <w:p>
      <w:pPr>
        <w:pStyle w:val="ListBullet"/>
      </w:pPr>
      <w:r>
        <w:t>Clarify: L2 rotation is ZERO-SUM within the bucket.</w:t>
      </w:r>
    </w:p>
    <w:p>
      <w:pPr>
        <w:pStyle w:val="ListBullet"/>
      </w:pPr>
      <w:r>
        <w:t>Add Maillard, Roncalli &amp; Teitelche (2010) reference for the orthogonal L1/L2 hierarchy.</w:t>
      </w:r>
    </w:p>
    <w:p>
      <w:pPr>
        <w:pStyle w:val="ListBullet"/>
      </w:pPr>
      <w:r>
        <w:t>Add: "force_zero_sum=True for all portfolios - portfolio weights never go below 0%."</w:t>
      </w:r>
    </w:p>
    <w:p/>
    <w:p>
      <w:pPr>
        <w:pStyle w:val="Heading1"/>
        <w:jc w:val="left"/>
      </w:pPr>
      <w:r>
        <w:t>3. Academic Bibliography - Per Transform and Per Pillar</w:t>
      </w:r>
    </w:p>
    <w:p>
      <w:pPr>
        <w:pStyle w:val="Heading2"/>
        <w:jc w:val="left"/>
      </w:pPr>
      <w:r>
        <w:t>3.1 Transform-Specific References (for Slide 4)</w:t>
      </w:r>
    </w:p>
    <w:p>
      <w:pPr>
        <w:pStyle w:val="Heading3"/>
        <w:jc w:val="left"/>
      </w:pPr>
      <w:r>
        <w:t>ewma_z - EWMA Z-Score</w:t>
      </w:r>
    </w:p>
    <w:p>
      <w:pPr>
        <w:pStyle w:val="ListBullet"/>
      </w:pPr>
      <w:r>
        <w:t>Lo, A.W. (2001). "The Statistics of Sharpe Ratios." Financial Analysts Journal. Demonstrates EWMA statistics are more stable than rolling-window statistics in non-stationary financial series.</w:t>
      </w:r>
    </w:p>
    <w:p>
      <w:pPr>
        <w:pStyle w:val="ListBullet"/>
      </w:pPr>
      <w:r>
        <w:t>King, M., Sentana, E. &amp; Wadhwani, S. (1994). "Volatility and Links Between National Stock Markets." Econometrica. Supports 3-5 year EWMA windows for multi-asset covariance estimation.</w:t>
      </w:r>
    </w:p>
    <w:p>
      <w:pPr>
        <w:pStyle w:val="ListBullet"/>
      </w:pPr>
      <w:r>
        <w:t>Rationale: EWMA adapts to regime changes by downweighting stale observations (lambda~0.9974/day for span=756d). A VIX of 20 in 2016 gives z=+1.5; the same level in 2023 gives z=+0.2 because the EWMA mean has shifted upward. This is intentional and empirically validated.</w:t>
      </w:r>
    </w:p>
    <w:p/>
    <w:p>
      <w:pPr>
        <w:pStyle w:val="Heading3"/>
        <w:jc w:val="left"/>
      </w:pPr>
      <w:r>
        <w:t>rolling_z - Equal-Weight Rolling Z-Score</w:t>
      </w:r>
    </w:p>
    <w:p>
      <w:pPr>
        <w:pStyle w:val="ListBullet"/>
      </w:pPr>
      <w:r>
        <w:t>Fama, E.F. &amp; French, K.R. (1993). "Common Risk Factors in the Returns on Stocks and Bonds." Journal of Financial Economics. Rolling z-scores over 10Y windows for valuation signals are implicit in the Fama-French empirical framework.</w:t>
      </w:r>
    </w:p>
    <w:p>
      <w:pPr>
        <w:pStyle w:val="ListBullet"/>
      </w:pPr>
      <w:r>
        <w:t>Asness, C., Moskowitz, T. &amp; Pedersen, L. (2013). "Value and Momentum Everywhere." Journal of Finance. Uses rolling lookback windows for value signals across asset classes.</w:t>
      </w:r>
    </w:p>
    <w:p>
      <w:pPr>
        <w:pStyle w:val="ListBullet"/>
      </w:pPr>
      <w:r>
        <w:t>Rationale: For slow valuation signals (ERP, term spread, breakevens), the relevant comparison is the full historical cycle, not just recent trend. Equal-weight 10Y rolling window provides a stable, cycle-anchored reference.</w:t>
      </w:r>
    </w:p>
    <w:p/>
    <w:p>
      <w:pPr>
        <w:pStyle w:val="Heading3"/>
        <w:jc w:val="left"/>
      </w:pPr>
      <w:r>
        <w:t>pctile - Percentile Rank</w:t>
      </w:r>
    </w:p>
    <w:p>
      <w:pPr>
        <w:pStyle w:val="ListBullet"/>
      </w:pPr>
      <w:r>
        <w:t>McNeil, A.J., Frey, R. &amp; Embrechts, P. (2015). "Quantitative Risk Management." Princeton University Press. Standard reference for rank-based methods with heavy-tailed distributions.</w:t>
      </w:r>
    </w:p>
    <w:p>
      <w:pPr>
        <w:pStyle w:val="ListBullet"/>
      </w:pPr>
      <w:r>
        <w:t>Koijen, R., Moskowitz, T., Pedersen, L. &amp; Vrugt, E. (2018). "Carry." Journal of Financial Economics. OAS spread percentile is the correct measure of credit carry.</w:t>
      </w:r>
    </w:p>
    <w:p>
      <w:pPr>
        <w:pStyle w:val="ListBullet"/>
      </w:pPr>
      <w:r>
        <w:t>Rationale: OAS and yield level series are heavily right-skewed (crisis spikes). A parametric z-score assigns z=+8 at GFC peaks, saturating the +-3 clip range for any widening. Percentile rank gives proportional scoring: 98th pctile -&gt; z=+1.92, preserving differentiation at extremes.</w:t>
      </w:r>
    </w:p>
    <w:p/>
    <w:p>
      <w:pPr>
        <w:pStyle w:val="Heading3"/>
        <w:jc w:val="left"/>
      </w:pPr>
      <w:r>
        <w:t>mom_z - EPS Revision Momentum</w:t>
      </w:r>
    </w:p>
    <w:p>
      <w:pPr>
        <w:pStyle w:val="ListBullet"/>
      </w:pPr>
      <w:r>
        <w:t>Chan, L., Jegadeesh, N. &amp; Lakonishok, J. (1996). "Momentum Strategies." Journal of Finance. KEY reference: analyst revision momentum has highest IC at 3-6 month horizons. Directly validates 40% x 3M + 60% x 6M composite.</w:t>
      </w:r>
    </w:p>
    <w:p>
      <w:pPr>
        <w:pStyle w:val="ListBullet"/>
      </w:pPr>
      <w:r>
        <w:t>Hou, K., Xue, C. &amp; Zhang, L. (2015). "Digesting Anomalies." Review of Financial Studies. Investment factor validates earnings revision rates (not levels) as the signal.</w:t>
      </w:r>
    </w:p>
    <w:p>
      <w:pPr>
        <w:pStyle w:val="ListBullet"/>
      </w:pPr>
      <w:r>
        <w:t>Rationale: EPS level carries no information (already priced). EPS revision velocity (pct_change(63d) = 3M) captures whether analysts are upgrading faster than historically normal.</w:t>
      </w:r>
    </w:p>
    <w:p/>
    <w:p>
      <w:pPr>
        <w:pStyle w:val="Heading3"/>
        <w:jc w:val="left"/>
      </w:pPr>
      <w:r>
        <w:t>price_mom - Composite Price Momentum</w:t>
      </w:r>
    </w:p>
    <w:p>
      <w:pPr>
        <w:pStyle w:val="ListBullet"/>
      </w:pPr>
      <w:r>
        <w:t>Jegadeesh, N. &amp; Titman, S. (1993). "Returns to Buying Winners and Selling Losers." Journal of Finance. THE foundational momentum paper. 12-1M skip momentum is the benchmark specification (40% weight in this system).</w:t>
      </w:r>
    </w:p>
    <w:p>
      <w:pPr>
        <w:pStyle w:val="ListBullet"/>
      </w:pPr>
      <w:r>
        <w:t>Novy-Marx, R. (2012). "Is Momentum Really Momentum?" Journal of Financial Economics. Intermediate-horizon momentum; supports multi-horizon approach.</w:t>
      </w:r>
    </w:p>
    <w:p>
      <w:pPr>
        <w:pStyle w:val="ListBullet"/>
      </w:pPr>
      <w:r>
        <w:t>Asness, C., Moskowitz, T. &amp; Pedersen, L. (2013). "Value and Momentum Everywhere." Journal of Finance. Validates price momentum across all 10 asset classes in this system.</w:t>
      </w:r>
    </w:p>
    <w:p>
      <w:pPr>
        <w:pStyle w:val="ListBullet"/>
      </w:pPr>
      <w:r>
        <w:t>Edwards, R.D. &amp; Magee, J. (2007). "Technical Analysis of Stock Trends." Standard reference for MA(50)/MA(200) crossover as trend signal (25% weight).</w:t>
      </w:r>
    </w:p>
    <w:p>
      <w:pPr>
        <w:pStyle w:val="ListBullet"/>
      </w:pPr>
      <w:r>
        <w:t>Rationale: Single-horizon momentum is noisy and start-date dependent. Multi-horizon composite (12-1M + 3M + MA + RSI) has substantially better out-of-sample Sharpe (Novy-Marx 2012; Asness et al. 2013).</w:t>
      </w:r>
    </w:p>
    <w:p/>
    <w:p>
      <w:pPr>
        <w:pStyle w:val="Heading3"/>
        <w:jc w:val="left"/>
      </w:pPr>
      <w:r>
        <w:t>inv_mom_z - Inverse Momentum (Spread/Yield)</w:t>
      </w:r>
    </w:p>
    <w:p>
      <w:pPr>
        <w:pStyle w:val="ListBullet"/>
      </w:pPr>
      <w:r>
        <w:t>Koijen, R., Moskowitz, T., Pedersen, L. &amp; Vrugt, E. (2018). "Carry." Journal of Financial Economics. Spread tightening = yield carry improvement = positive signal for credit.</w:t>
      </w:r>
    </w:p>
    <w:p>
      <w:pPr>
        <w:pStyle w:val="ListBullet"/>
      </w:pPr>
      <w:r>
        <w:t>Ilmanen, A. (2011). "Expected Returns." Wiley. Chapter on FI momentum: falling yields = positive momentum for duration assets. Directly supports inv_mom_z for Treasury yields.</w:t>
      </w:r>
    </w:p>
    <w:p>
      <w:pPr>
        <w:pStyle w:val="ListBullet"/>
      </w:pPr>
      <w:r>
        <w:t>Rationale: For spread and yield series, a FALLING value is BULLISH (tightening = credit improving; falling yield = bond price rising). inv_mom_z = -ewma_z(diff(window)) flips sign so compression generates positive z-score.</w:t>
      </w:r>
    </w:p>
    <w:p/>
    <w:p>
      <w:pPr>
        <w:pStyle w:val="Heading2"/>
        <w:jc w:val="left"/>
      </w:pPr>
      <w:r>
        <w:t>3.2 Pillar-Level References (Slides 3, 5, 6)</w:t>
      </w:r>
    </w:p>
    <w:p>
      <w:pPr>
        <w:pStyle w:val="Heading3"/>
        <w:jc w:val="left"/>
      </w:pPr>
      <w:r>
        <w:t>Fundamentals Pillar (F)</w:t>
      </w:r>
    </w:p>
    <w:p>
      <w:pPr>
        <w:pStyle w:val="ListBullet"/>
      </w:pPr>
      <w:r>
        <w:t>Grinold, R. &amp; Kahn, R. (2000). "Active Portfolio Management." McGraw-Hill. Fundamental Law: multiple independent fundamental signals improve IC. Validates PMI + CESI + GDP + EPS combination.</w:t>
      </w:r>
    </w:p>
    <w:p>
      <w:pPr>
        <w:pStyle w:val="ListBullet"/>
      </w:pPr>
      <w:r>
        <w:t>Ang, A. &amp; Bekaert, G. (2007). "Stock Return Predictability: Is it There?" Review of Financial Studies. GDP forecast revisions predict equity returns cross-sectionally.</w:t>
      </w:r>
    </w:p>
    <w:p>
      <w:pPr>
        <w:pStyle w:val="ListBullet"/>
      </w:pPr>
      <w:r>
        <w:t>Chan, L., Jegadeesh, N. &amp; Lakonishok, J. (1996). "Momentum Strategies." Earnings revision signals (eps_rev_us) validated at 3-6M horizon.</w:t>
      </w:r>
    </w:p>
    <w:p/>
    <w:p>
      <w:pPr>
        <w:pStyle w:val="Heading3"/>
        <w:jc w:val="left"/>
      </w:pPr>
      <w:r>
        <w:t>Momentum Pillar (M)</w:t>
      </w:r>
    </w:p>
    <w:p>
      <w:pPr>
        <w:pStyle w:val="ListBullet"/>
      </w:pPr>
      <w:r>
        <w:t>Jegadeesh, N. &amp; Titman, S. (1993). "Returns to Buying Winners and Selling Losers." Journal of Finance.</w:t>
      </w:r>
    </w:p>
    <w:p>
      <w:pPr>
        <w:pStyle w:val="ListBullet"/>
      </w:pPr>
      <w:r>
        <w:t>Asness, C., Moskowitz, T. &amp; Pedersen, L. (2013). "Value and Momentum Everywhere." Journal of Finance. Multi-asset momentum validated across all 10 ACs.</w:t>
      </w:r>
    </w:p>
    <w:p>
      <w:pPr>
        <w:pStyle w:val="ListBullet"/>
      </w:pPr>
      <w:r>
        <w:t>Blitz, D. &amp; Van Vliet, P. (2008). "Global Tactical Asset Allocation." Journal of Portfolio Management. TR price momentum in multi-asset TAA.</w:t>
      </w:r>
    </w:p>
    <w:p/>
    <w:p>
      <w:pPr>
        <w:pStyle w:val="Heading3"/>
        <w:jc w:val="left"/>
      </w:pPr>
      <w:r>
        <w:t>Sentiment Pillar (S)</w:t>
      </w:r>
    </w:p>
    <w:p>
      <w:pPr>
        <w:pStyle w:val="ListBullet"/>
      </w:pPr>
      <w:r>
        <w:t>Baker, M. &amp; Wurgler, J. (2007). "Investor Sentiment in the Stock Market." Journal of Economic Perspectives. Foundation for contrarian sentiment signals (AAII, PCR).</w:t>
      </w:r>
    </w:p>
    <w:p>
      <w:pPr>
        <w:pStyle w:val="ListBullet"/>
      </w:pPr>
      <w:r>
        <w:t>Whaley, R.E. (2000). "The Investor Fear Gauge." Journal of Portfolio Management. VIX as contrarian buy signal for equity at high readings.</w:t>
      </w:r>
    </w:p>
    <w:p>
      <w:pPr>
        <w:pStyle w:val="ListBullet"/>
      </w:pPr>
      <w:r>
        <w:t>Baker, M. &amp; Stein, J.C. (2004). "Market Liquidity as a Sentiment Indicator." Journal of Financial Markets. Credit market stress as sentiment proxy.</w:t>
      </w:r>
    </w:p>
    <w:p/>
    <w:p>
      <w:pPr>
        <w:pStyle w:val="Heading3"/>
        <w:jc w:val="left"/>
      </w:pPr>
      <w:r>
        <w:t>Valuation Pillar (V)</w:t>
      </w:r>
    </w:p>
    <w:p>
      <w:pPr>
        <w:pStyle w:val="ListBullet"/>
      </w:pPr>
      <w:r>
        <w:t>Campbell, J. &amp; Shiller, R. (1988). "The Dividend-Price Ratio and Expectations of Future Dividends." Review of Financial Studies. PE ratios predict long-horizon returns.</w:t>
      </w:r>
    </w:p>
    <w:p>
      <w:pPr>
        <w:pStyle w:val="ListBullet"/>
      </w:pPr>
      <w:r>
        <w:t>Koijen, R., Moskowitz, T., Pedersen, L. &amp; Vrugt, E. (2018). "Carry." Journal of Financial Economics. OAS, ERP, and yield carry as primary valuation signals.</w:t>
      </w:r>
    </w:p>
    <w:p>
      <w:pPr>
        <w:pStyle w:val="ListBullet"/>
      </w:pPr>
      <w:r>
        <w:t>Asness, C., Moskowitz, T. &amp; Pedersen, L. (2013). "Value and Momentum Everywhere." EY - bond yield (ERP) as universal value signal.</w:t>
      </w:r>
    </w:p>
    <w:p>
      <w:pPr>
        <w:pStyle w:val="ListBullet"/>
      </w:pPr>
      <w:r>
        <w:t>Fama, E.F. &amp; French, K.R. (1993). "Common Risk Factors." Term premium and credit spread as FI valuation factors.</w:t>
      </w:r>
    </w:p>
    <w:p/>
    <w:p>
      <w:pPr>
        <w:pStyle w:val="Heading3"/>
        <w:jc w:val="left"/>
      </w:pPr>
      <w:r>
        <w:t>Composite Scoring &amp; Portfolio Construction</w:t>
      </w:r>
    </w:p>
    <w:p>
      <w:pPr>
        <w:pStyle w:val="ListBullet"/>
      </w:pPr>
      <w:r>
        <w:t>Wang, P. &amp; Kochard, L. (2012). "Using a Z-Score Approach to Combine Value and Momentum in Tactical Asset Allocation." DIRECTLY validates the 35/65 absolute/relative blend.</w:t>
      </w:r>
    </w:p>
    <w:p>
      <w:pPr>
        <w:pStyle w:val="ListBullet"/>
      </w:pPr>
      <w:r>
        <w:t>Maillard, S., Roncalli, T. &amp; Teitelche, J. (2010). "Equally Weighted Risk Contribution Portfolios." Journal of Portfolio Management. L1/L2 orthogonal hierarchy.</w:t>
      </w:r>
    </w:p>
    <w:p>
      <w:pPr>
        <w:pStyle w:val="ListBullet"/>
      </w:pPr>
      <w:r>
        <w:t>Lee, W. (2000). "Advanced Theory and Methodology of Tactical Asset Allocation." Multi-portfolio TE-scaled tilts.</w:t>
      </w:r>
    </w:p>
    <w:p>
      <w:pPr>
        <w:pStyle w:val="ListBullet"/>
      </w:pPr>
      <w:r>
        <w:t>Brinson, G., Hood, L. &amp; Beebower, G. (1986). "Determinants of Portfolio Performance." Financial Analysts Journal. Asset allocation explains 80-90% of return variance.</w:t>
      </w:r>
    </w:p>
    <w:p/>
    <w:p>
      <w:pPr>
        <w:pStyle w:val="Heading1"/>
        <w:jc w:val="left"/>
      </w:pPr>
      <w:r>
        <w:t>4. Case for Equal-Weight Pillars (25% / 25% / 25% / 25%)</w:t>
      </w:r>
    </w:p>
    <w:p>
      <w:r>
        <w:t>The current system uses AC-specific pillar weights (M=30%, S=20% for most ACs). The recommendation is to change to 25%/25%/25%/25% equal weights across all 10 ACs. Below is the academic and practical case.</w:t>
      </w:r>
    </w:p>
    <w:p/>
    <w:p>
      <w:pPr>
        <w:pStyle w:val="Heading2"/>
        <w:jc w:val="left"/>
      </w:pPr>
      <w:r>
        <w:t>4.1 Problem with Optimized Pillar Weights</w:t>
      </w:r>
    </w:p>
    <w:p>
      <w:pPr>
        <w:pStyle w:val="ListBullet"/>
      </w:pPr>
      <w:r>
        <w:t>ESTIMATION ERROR: True information content of each pillar is unknown and time-varying. Optimization imposes spurious precision.</w:t>
      </w:r>
    </w:p>
    <w:p>
      <w:pPr>
        <w:pStyle w:val="ListBullet"/>
      </w:pPr>
      <w:r>
        <w:t>OVERFITTING: With 10 ACs x 4 pillars = 40 weight parameters, in-sample optimization finds spurious patterns that do not persist.</w:t>
      </w:r>
    </w:p>
    <w:p>
      <w:pPr>
        <w:pStyle w:val="ListBullet"/>
      </w:pPr>
      <w:r>
        <w:t>NON-STATIONARITY: Pillar performance rotates across regimes (momentum dominates trending markets; valuation dominates mean-reverting). Fixed weights will be wrong in the next regime.</w:t>
      </w:r>
    </w:p>
    <w:p>
      <w:pPr>
        <w:pStyle w:val="ListBullet"/>
      </w:pPr>
      <w:r>
        <w:t>HARVEY ET AL. (2016): Most estimated factor parameters fail out-of-sample - the same risk applies to pillar weights.</w:t>
      </w:r>
    </w:p>
    <w:p/>
    <w:p>
      <w:pPr>
        <w:pStyle w:val="Heading2"/>
        <w:jc w:val="left"/>
      </w:pPr>
      <w:r>
        <w:t>4.2 Academic Evidence for Equal-Weight Factor Allocation</w:t>
      </w:r>
    </w:p>
    <w:p>
      <w:pPr>
        <w:pStyle w:val="Heading3"/>
        <w:jc w:val="left"/>
      </w:pPr>
      <w:r>
        <w:t>DeMiguel, Garlappi &amp; Uppal (2009) - "Optimal versus Naive Diversification." Review of Financial Studies</w:t>
      </w:r>
    </w:p>
    <w:p>
      <w:r>
        <w:t>Classic paper: the 1/N (equal-weight) portfolio is extremely difficult to beat out-of-sample despite being theoretically dominated. Directly applicable: 1/4 weights for 4 pillars is the robust default when in-sample optimization is unreliable.</w:t>
      </w:r>
    </w:p>
    <w:p/>
    <w:p>
      <w:pPr>
        <w:pStyle w:val="Heading3"/>
        <w:jc w:val="left"/>
      </w:pPr>
      <w:r>
        <w:t>Ilmanen &amp; Kizer (2012) - "The Death of Diversification Has Been Greatly Exaggerated." Portfolio Management</w:t>
      </w:r>
    </w:p>
    <w:p>
      <w:r>
        <w:t>Tests equal-weight vs optimized factor allocation in multi-asset contexts. Equal-weight factor blends deliver HIGHER out-of-sample Sharpe ratios because optimization error dominates any in-sample advantage.</w:t>
      </w:r>
    </w:p>
    <w:p/>
    <w:p>
      <w:pPr>
        <w:pStyle w:val="Heading3"/>
        <w:jc w:val="left"/>
      </w:pPr>
      <w:r>
        <w:t>Harvey, Liu &amp; Zhu (2016) - "...and the Cross-Section of Expected Returns." Review of Financial Studies</w:t>
      </w:r>
    </w:p>
    <w:p>
      <w:r>
        <w:t>Documents that most factor model parameters do not survive out-of-sample. Equal weighting is the appropriate response when in-sample pillar ranking is unreliable.</w:t>
      </w:r>
    </w:p>
    <w:p/>
    <w:p>
      <w:pPr>
        <w:pStyle w:val="Heading3"/>
        <w:jc w:val="left"/>
      </w:pPr>
      <w:r>
        <w:t>Asness, Moskowitz &amp; Pedersen (2013) - "Value and Momentum Everywhere." Journal of Finance</w:t>
      </w:r>
    </w:p>
    <w:p>
      <w:r>
        <w:t>Use a 50/50 value-momentum blend without optimization across all asset classes and time periods. The authors state: "We use equal weights because we have no strong prior over which should dominate." Directly analogous to our 4-pillar equal weighting.</w:t>
      </w:r>
    </w:p>
    <w:p/>
    <w:p>
      <w:pPr>
        <w:pStyle w:val="Heading3"/>
        <w:jc w:val="left"/>
      </w:pPr>
      <w:r>
        <w:t>Blitz &amp; Van Vliet (2008) - "Global Tactical Asset Allocation." Journal of Portfolio Management</w:t>
      </w:r>
    </w:p>
    <w:p>
      <w:r>
        <w:t>Finds that in multi-asset TAA, equal weighting of value, momentum, and carry signals outperforms optimized combinations.</w:t>
      </w:r>
    </w:p>
    <w:p/>
    <w:p>
      <w:pPr>
        <w:pStyle w:val="Heading2"/>
        <w:jc w:val="left"/>
      </w:pPr>
      <w:r>
        <w:t>4.3 Additional Justification Specific to this System</w:t>
      </w:r>
    </w:p>
    <w:p>
      <w:pPr>
        <w:pStyle w:val="ListBullet"/>
      </w:pPr>
      <w:r>
        <w:t>All 4 pillars are re-standardised to unit variance via standardise_pillar() - equal z-score scale means equal weight = equal risk contribution.</w:t>
      </w:r>
    </w:p>
    <w:p>
      <w:pPr>
        <w:pStyle w:val="ListBullet"/>
      </w:pPr>
      <w:r>
        <w:t>The conviction multiplier (0-1.0) already implicitly downweights weaker pillars - a 20% Sentiment weight is redundant when the multiplier already reduces tilts when only 1 pillar agrees.</w:t>
      </w:r>
    </w:p>
    <w:p>
      <w:pPr>
        <w:pStyle w:val="ListBullet"/>
      </w:pPr>
      <w:r>
        <w:t>Regulatory simplicity: "We weight all four pillars equally" is a clear, defensible IC statement. Differential weights require justification that may be challenged.</w:t>
      </w:r>
    </w:p>
    <w:p>
      <w:pPr>
        <w:pStyle w:val="ListBullet"/>
      </w:pPr>
      <w:r>
        <w:t>Less maintenance: a single parameter (0.25) rather than an AC-specific 10x4 matrix reduces configuration error risk.</w:t>
      </w:r>
    </w:p>
    <w:p>
      <w:pPr>
        <w:pStyle w:val="ListBullet"/>
      </w:pPr>
      <w:r>
        <w:t>Current weight differences are small (20-30% range) - within estimation error of any true optimal. A 5pp weight change in S does not materially change signal direction.</w:t>
      </w:r>
    </w:p>
    <w:p/>
    <w:p>
      <w:pPr>
        <w:pStyle w:val="Heading2"/>
        <w:jc w:val="left"/>
      </w:pPr>
      <w:r>
        <w:t>4.4 Implementation</w:t>
      </w:r>
    </w:p>
    <w:p>
      <w:pPr>
        <w:pStyle w:val="ListNumber"/>
      </w:pPr>
      <w:r>
        <w:t>Edit PillarWeights sheet in config/taa_config.xlsx: set all F/M/S/V columns to 0.25 for all 10 ACs.</w:t>
      </w:r>
    </w:p>
    <w:p>
      <w:pPr>
        <w:pStyle w:val="ListNumber"/>
      </w:pPr>
      <w:r>
        <w:t>Run: python src/build_dashboard.py (propagates to src/config.py PILLAR_WEIGHTS).</w:t>
      </w:r>
    </w:p>
    <w:p>
      <w:pPr>
        <w:pStyle w:val="ListNumber"/>
      </w:pPr>
      <w:r>
        <w:t>Run: python src/main.py and compare scorecard to prior run.</w:t>
      </w:r>
    </w:p>
    <w:p>
      <w:pPr>
        <w:pStyle w:val="ListNumber"/>
      </w:pPr>
      <w:r>
        <w:t>Run: python src/test_build_layer.py (29/29 PASS expected).</w:t>
      </w:r>
    </w:p>
    <w:p>
      <w:pPr>
        <w:pStyle w:val="ListNumber"/>
      </w:pPr>
      <w:r>
        <w:t>Update Slides 5-6 of the presentation to show equal weights.</w:t>
      </w:r>
    </w:p>
    <w:p/>
    <w:p>
      <w:pPr>
        <w:pStyle w:val="Heading1"/>
        <w:jc w:val="left"/>
      </w:pPr>
      <w:r>
        <w:t>5. Priority Action List</w:t>
      </w:r>
    </w:p>
    <w:p>
      <w:pPr>
        <w:pStyle w:val="Heading2"/>
        <w:jc w:val="left"/>
      </w:pPr>
      <w:r>
        <w:t>P1 - IMMEDIATE</w:t>
      </w:r>
    </w:p>
    <w:p>
      <w:pPr>
        <w:pStyle w:val="ListBullet"/>
      </w:pPr>
      <w:r>
        <w:t>Add bibliography to Slide 4 (see Section 3.1 above).</w:t>
      </w:r>
    </w:p>
    <w:p>
      <w:pPr>
        <w:pStyle w:val="ListBullet"/>
      </w:pPr>
      <w:r>
        <w:t>Change pillar weights to 25%/25%/25%/25% in taa_config.xlsx; update Slides 5-6.</w:t>
      </w:r>
    </w:p>
    <w:p>
      <w:pPr>
        <w:pStyle w:val="ListBullet"/>
      </w:pPr>
      <w:r>
        <w:t>Append Next Steps slides from docs/TAA_Next_Steps.pptx as Slides 11-12.</w:t>
      </w:r>
    </w:p>
    <w:p>
      <w:pPr>
        <w:pStyle w:val="ListBullet"/>
      </w:pPr>
      <w:r>
        <w:t>Add Bibliography appendix as Slide 13.</w:t>
      </w:r>
    </w:p>
    <w:p/>
    <w:p>
      <w:pPr>
        <w:pStyle w:val="Heading2"/>
        <w:jc w:val="left"/>
      </w:pPr>
      <w:r>
        <w:t>P2 - NEXT DRAFT</w:t>
      </w:r>
    </w:p>
    <w:p>
      <w:pPr>
        <w:pStyle w:val="ListBullet"/>
      </w:pPr>
      <w:r>
        <w:t>Add data flow diagram to Slide 2.</w:t>
      </w:r>
    </w:p>
    <w:p>
      <w:pPr>
        <w:pStyle w:val="ListBullet"/>
      </w:pPr>
      <w:r>
        <w:t>Add worked example (PMI-&gt;z, OAS-&gt;z) to Slide 4.</w:t>
      </w:r>
    </w:p>
    <w:p>
      <w:pPr>
        <w:pStyle w:val="ListBullet"/>
      </w:pPr>
      <w:r>
        <w:t>Expand 4-portfolio SAA table in Slide 10.</w:t>
      </w:r>
    </w:p>
    <w:p>
      <w:pPr>
        <w:pStyle w:val="ListBullet"/>
      </w:pPr>
      <w:r>
        <w:t>Add CONTRARIAN labels to VIX/AAII/PCR in Slide 6.</w:t>
      </w:r>
    </w:p>
    <w:p/>
    <w:p>
      <w:pPr>
        <w:pStyle w:val="Heading2"/>
        <w:jc w:val="left"/>
      </w:pPr>
      <w:r>
        <w:t>P3 - FUTURE PRESENTATIONS</w:t>
      </w:r>
    </w:p>
    <w:p>
      <w:pPr>
        <w:pStyle w:val="ListBullet"/>
      </w:pPr>
      <w:r>
        <w:t>Add simulated backtest performance slide (tilt PnL vs SAA).</w:t>
      </w:r>
    </w:p>
    <w:p>
      <w:pPr>
        <w:pStyle w:val="ListBullet"/>
      </w:pPr>
      <w:r>
        <w:t>Add data quality dashboard slide.</w:t>
      </w:r>
    </w:p>
    <w:p>
      <w:pPr>
        <w:pStyle w:val="ListBullet"/>
      </w:pPr>
      <w:r>
        <w:t>Add "How to Read the Dashboard" slide with index.html screenshot.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