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85E86" w14:textId="77777777" w:rsidR="00020931" w:rsidRPr="00AA47FF" w:rsidRDefault="00020931" w:rsidP="00020931">
      <w:pPr>
        <w:pStyle w:val="NormalWeb"/>
        <w:rPr>
          <w:rFonts w:ascii="Arial" w:hAnsi="Arial" w:cs="Arial"/>
          <w:sz w:val="22"/>
          <w:szCs w:val="22"/>
        </w:rPr>
      </w:pPr>
      <w:r w:rsidRPr="00AA47FF">
        <w:rPr>
          <w:rFonts w:ascii="Arial" w:hAnsi="Arial" w:cs="Arial"/>
          <w:sz w:val="22"/>
          <w:szCs w:val="22"/>
        </w:rPr>
        <w:t>Voy a estructurar dos speeches: uno para la parte metodológica (siguiendo el PPT) y otro para los primeros resultados (vinculando ESR + dashboard al estado actual de la economía a fecha 20 de mayo 2026).</w:t>
      </w:r>
    </w:p>
    <w:p w14:paraId="659F06A8" w14:textId="77777777" w:rsidR="00020931" w:rsidRPr="00AA47FF" w:rsidRDefault="00020931" w:rsidP="00020931">
      <w:pPr>
        <w:rPr>
          <w:rFonts w:ascii="Arial" w:hAnsi="Arial" w:cs="Arial"/>
          <w:sz w:val="22"/>
          <w:szCs w:val="22"/>
        </w:rPr>
      </w:pPr>
      <w:r w:rsidRPr="00AA47FF">
        <w:rPr>
          <w:rFonts w:ascii="Arial" w:hAnsi="Arial" w:cs="Arial"/>
          <w:sz w:val="22"/>
          <w:szCs w:val="22"/>
        </w:rPr>
        <w:pict w14:anchorId="446E09A3">
          <v:rect id="_x0000_i1025" style="width:0;height:1.5pt" o:hralign="center" o:hrstd="t" o:hr="t" fillcolor="#a0a0a0" stroked="f"/>
        </w:pict>
      </w:r>
    </w:p>
    <w:p w14:paraId="20CF3BEA" w14:textId="53F69BE6" w:rsidR="00020931" w:rsidRPr="002C3129" w:rsidRDefault="002C3129" w:rsidP="002C3129">
      <w:pPr>
        <w:pStyle w:val="Ttulo1"/>
        <w:jc w:val="center"/>
        <w:rPr>
          <w:rFonts w:ascii="Arial" w:hAnsi="Arial" w:cs="Arial"/>
          <w:b/>
          <w:bCs/>
          <w:color w:val="EE0000"/>
          <w:sz w:val="24"/>
          <w:szCs w:val="24"/>
        </w:rPr>
      </w:pPr>
      <w:r w:rsidRPr="002C3129">
        <w:rPr>
          <w:rFonts w:ascii="Arial" w:hAnsi="Arial" w:cs="Arial"/>
          <w:b/>
          <w:bCs/>
          <w:color w:val="EE0000"/>
          <w:sz w:val="24"/>
          <w:szCs w:val="24"/>
        </w:rPr>
        <w:t>METODOLOGÍA DEL TAA SYSTEM</w:t>
      </w:r>
    </w:p>
    <w:p w14:paraId="493A5487" w14:textId="77777777" w:rsidR="00020931" w:rsidRPr="00680BE7" w:rsidRDefault="00020931" w:rsidP="00680BE7">
      <w:pPr>
        <w:pStyle w:val="Ttulo2"/>
        <w:pBdr>
          <w:bottom w:val="single" w:sz="4" w:space="1" w:color="auto"/>
        </w:pBdr>
        <w:rPr>
          <w:rFonts w:ascii="Arial" w:hAnsi="Arial" w:cs="Arial"/>
          <w:b/>
          <w:bCs/>
          <w:sz w:val="22"/>
          <w:szCs w:val="22"/>
        </w:rPr>
      </w:pPr>
      <w:r w:rsidRPr="00680BE7">
        <w:rPr>
          <w:rFonts w:ascii="Arial" w:hAnsi="Arial" w:cs="Arial"/>
          <w:b/>
          <w:bCs/>
          <w:sz w:val="22"/>
          <w:szCs w:val="22"/>
        </w:rPr>
        <w:t>Apertura (Slide 1–2)</w:t>
      </w:r>
    </w:p>
    <w:p w14:paraId="5DC994AF" w14:textId="79E234E5" w:rsidR="00020931" w:rsidRPr="00AA47FF" w:rsidRDefault="00020931" w:rsidP="00020931">
      <w:pPr>
        <w:pStyle w:val="NormalWeb"/>
        <w:rPr>
          <w:rFonts w:ascii="Arial" w:hAnsi="Arial" w:cs="Arial"/>
          <w:sz w:val="22"/>
          <w:szCs w:val="22"/>
        </w:rPr>
      </w:pPr>
      <w:r w:rsidRPr="00AA47FF">
        <w:rPr>
          <w:rFonts w:ascii="Arial" w:hAnsi="Arial" w:cs="Arial"/>
          <w:sz w:val="22"/>
          <w:szCs w:val="22"/>
        </w:rPr>
        <w:t xml:space="preserve">"Buenos días. </w:t>
      </w:r>
      <w:r w:rsidR="00793C67">
        <w:rPr>
          <w:rFonts w:ascii="Arial" w:hAnsi="Arial" w:cs="Arial"/>
          <w:sz w:val="22"/>
          <w:szCs w:val="22"/>
        </w:rPr>
        <w:t>Continuando con el comité de asignación, vamos</w:t>
      </w:r>
      <w:r w:rsidRPr="00AA47FF">
        <w:rPr>
          <w:rFonts w:ascii="Arial" w:hAnsi="Arial" w:cs="Arial"/>
          <w:sz w:val="22"/>
          <w:szCs w:val="22"/>
        </w:rPr>
        <w:t xml:space="preserve"> a presentar hoy la primera entrega del </w:t>
      </w:r>
      <w:r w:rsidRPr="00AA47FF">
        <w:rPr>
          <w:rStyle w:val="Fuerte"/>
          <w:rFonts w:ascii="Arial" w:hAnsi="Arial" w:cs="Arial"/>
          <w:sz w:val="22"/>
          <w:szCs w:val="22"/>
        </w:rPr>
        <w:t>TAA System</w:t>
      </w:r>
      <w:r w:rsidRPr="00AA47FF">
        <w:rPr>
          <w:rFonts w:ascii="Arial" w:hAnsi="Arial" w:cs="Arial"/>
          <w:sz w:val="22"/>
          <w:szCs w:val="22"/>
        </w:rPr>
        <w:t xml:space="preserve">, el motor de Tactical Asset Allocation que hemos construido para generar tilts tácticos semanales alrededor de los benchmarks estratégicos de los portafolios </w:t>
      </w:r>
      <w:r w:rsidR="00793C67">
        <w:rPr>
          <w:rFonts w:ascii="Arial" w:hAnsi="Arial" w:cs="Arial"/>
          <w:sz w:val="22"/>
          <w:szCs w:val="22"/>
        </w:rPr>
        <w:t>Riesgo Cliente</w:t>
      </w:r>
      <w:r w:rsidRPr="00AA47FF">
        <w:rPr>
          <w:rFonts w:ascii="Arial" w:hAnsi="Arial" w:cs="Arial"/>
          <w:sz w:val="22"/>
          <w:szCs w:val="22"/>
        </w:rPr>
        <w:t>. La presentación está dividida en dos bloques: primero la metodología — cómo funciona el sistema, qué lo alimenta y cómo llegamos a una recomendación — y después los primeros resultados de la corrida del 20 de mayo, dónde leemos hoy los principales asset classes."</w:t>
      </w:r>
    </w:p>
    <w:p w14:paraId="1959EF05" w14:textId="77777777" w:rsidR="00020931" w:rsidRPr="00680BE7" w:rsidRDefault="00020931" w:rsidP="00680BE7">
      <w:pPr>
        <w:pStyle w:val="Ttulo2"/>
        <w:pBdr>
          <w:bottom w:val="single" w:sz="4" w:space="1" w:color="auto"/>
        </w:pBdr>
        <w:rPr>
          <w:rFonts w:ascii="Arial" w:hAnsi="Arial" w:cs="Arial"/>
          <w:b/>
          <w:bCs/>
          <w:sz w:val="22"/>
          <w:szCs w:val="22"/>
        </w:rPr>
      </w:pPr>
      <w:r w:rsidRPr="00680BE7">
        <w:rPr>
          <w:rFonts w:ascii="Arial" w:hAnsi="Arial" w:cs="Arial"/>
          <w:b/>
          <w:bCs/>
          <w:sz w:val="22"/>
          <w:szCs w:val="22"/>
        </w:rPr>
        <w:t>System Overview (Slide 3)</w:t>
      </w:r>
    </w:p>
    <w:p w14:paraId="2A334672" w14:textId="77777777" w:rsidR="00020931" w:rsidRPr="00AA47FF" w:rsidRDefault="00020931" w:rsidP="00020931">
      <w:pPr>
        <w:pStyle w:val="NormalWeb"/>
        <w:rPr>
          <w:rFonts w:ascii="Arial" w:hAnsi="Arial" w:cs="Arial"/>
          <w:sz w:val="22"/>
          <w:szCs w:val="22"/>
        </w:rPr>
      </w:pPr>
      <w:r w:rsidRPr="00AA47FF">
        <w:rPr>
          <w:rFonts w:ascii="Arial" w:hAnsi="Arial" w:cs="Arial"/>
          <w:sz w:val="22"/>
          <w:szCs w:val="22"/>
        </w:rPr>
        <w:t>"Empecemos por los principios de diseño, porque definen toda la arquitectura del sistema.</w:t>
      </w:r>
    </w:p>
    <w:p w14:paraId="0C223CAA" w14:textId="4D112E7A" w:rsidR="00020931" w:rsidRPr="00AA47FF" w:rsidRDefault="00020931" w:rsidP="00680BE7">
      <w:pPr>
        <w:pStyle w:val="NormalWeb"/>
        <w:numPr>
          <w:ilvl w:val="0"/>
          <w:numId w:val="2"/>
        </w:numPr>
        <w:rPr>
          <w:rFonts w:ascii="Arial" w:hAnsi="Arial" w:cs="Arial"/>
          <w:sz w:val="22"/>
          <w:szCs w:val="22"/>
        </w:rPr>
      </w:pPr>
      <w:r w:rsidRPr="00AA47FF">
        <w:rPr>
          <w:rStyle w:val="Fuerte"/>
          <w:rFonts w:ascii="Arial" w:hAnsi="Arial" w:cs="Arial"/>
          <w:sz w:val="22"/>
          <w:szCs w:val="22"/>
        </w:rPr>
        <w:t>Primero, una sola fuente de verdad.</w:t>
      </w:r>
      <w:r w:rsidRPr="00AA47FF">
        <w:rPr>
          <w:rFonts w:ascii="Arial" w:hAnsi="Arial" w:cs="Arial"/>
          <w:sz w:val="22"/>
          <w:szCs w:val="22"/>
        </w:rPr>
        <w:t xml:space="preserve"> Todas las señales, pesos y mapeos viven en un archivo de configuración — </w:t>
      </w:r>
      <w:r w:rsidRPr="00AA47FF">
        <w:rPr>
          <w:rStyle w:val="CdigoHTML"/>
          <w:rFonts w:ascii="Arial" w:hAnsi="Arial" w:cs="Arial"/>
          <w:sz w:val="22"/>
          <w:szCs w:val="22"/>
        </w:rPr>
        <w:t>taa_config.xlsx</w:t>
      </w:r>
      <w:r w:rsidRPr="00AA47FF">
        <w:rPr>
          <w:rFonts w:ascii="Arial" w:hAnsi="Arial" w:cs="Arial"/>
          <w:sz w:val="22"/>
          <w:szCs w:val="22"/>
        </w:rPr>
        <w:t xml:space="preserve">. No hay parámetros hardcodeados en el código. Esto es crítico para gobernanza: cualquier cambio de criterio se hace en Excel, queda versionado, y </w:t>
      </w:r>
      <w:r w:rsidR="00793C67">
        <w:rPr>
          <w:rFonts w:ascii="Arial" w:hAnsi="Arial" w:cs="Arial"/>
          <w:sz w:val="22"/>
          <w:szCs w:val="22"/>
        </w:rPr>
        <w:t>traceable.</w:t>
      </w:r>
    </w:p>
    <w:p w14:paraId="187DF08B" w14:textId="77777777" w:rsidR="00020931" w:rsidRPr="00AA47FF" w:rsidRDefault="00020931" w:rsidP="00680BE7">
      <w:pPr>
        <w:pStyle w:val="NormalWeb"/>
        <w:numPr>
          <w:ilvl w:val="0"/>
          <w:numId w:val="2"/>
        </w:numPr>
        <w:rPr>
          <w:rFonts w:ascii="Arial" w:hAnsi="Arial" w:cs="Arial"/>
          <w:sz w:val="22"/>
          <w:szCs w:val="22"/>
        </w:rPr>
      </w:pPr>
      <w:r w:rsidRPr="00AA47FF">
        <w:rPr>
          <w:rStyle w:val="Fuerte"/>
          <w:rFonts w:ascii="Arial" w:hAnsi="Arial" w:cs="Arial"/>
          <w:sz w:val="22"/>
          <w:szCs w:val="22"/>
        </w:rPr>
        <w:t>Segundo, señales plain-vanilla.</w:t>
      </w:r>
      <w:r w:rsidRPr="00AA47FF">
        <w:rPr>
          <w:rFonts w:ascii="Arial" w:hAnsi="Arial" w:cs="Arial"/>
          <w:sz w:val="22"/>
          <w:szCs w:val="22"/>
        </w:rPr>
        <w:t xml:space="preserve"> Cada señal tiene una fuente de datos verificable — Bloomberg, FRED, ICE BofA — y un racional económico claro. Permitimos señales derivadas que combinan inputs aprobados, pero sin perder transparencia.</w:t>
      </w:r>
    </w:p>
    <w:p w14:paraId="3281D379" w14:textId="2730D3AA" w:rsidR="00020931" w:rsidRPr="00AA47FF" w:rsidRDefault="00020931" w:rsidP="00680BE7">
      <w:pPr>
        <w:pStyle w:val="NormalWeb"/>
        <w:numPr>
          <w:ilvl w:val="0"/>
          <w:numId w:val="2"/>
        </w:numPr>
        <w:rPr>
          <w:rFonts w:ascii="Arial" w:hAnsi="Arial" w:cs="Arial"/>
          <w:sz w:val="22"/>
          <w:szCs w:val="22"/>
        </w:rPr>
      </w:pPr>
      <w:r w:rsidRPr="00AA47FF">
        <w:rPr>
          <w:rStyle w:val="Fuerte"/>
          <w:rFonts w:ascii="Arial" w:hAnsi="Arial" w:cs="Arial"/>
          <w:sz w:val="22"/>
          <w:szCs w:val="22"/>
        </w:rPr>
        <w:t>Tercero, el signo vive en el mapeo.</w:t>
      </w:r>
      <w:r w:rsidRPr="00AA47FF">
        <w:rPr>
          <w:rFonts w:ascii="Arial" w:hAnsi="Arial" w:cs="Arial"/>
          <w:sz w:val="22"/>
          <w:szCs w:val="22"/>
        </w:rPr>
        <w:t xml:space="preserve"> El sentido bullish o bearish de cada señal para cada asset class se define exclusivamente en la hoja </w:t>
      </w:r>
      <w:r w:rsidRPr="00AA47FF">
        <w:rPr>
          <w:rStyle w:val="CdigoHTML"/>
          <w:rFonts w:ascii="Arial" w:hAnsi="Arial" w:cs="Arial"/>
          <w:sz w:val="22"/>
          <w:szCs w:val="22"/>
        </w:rPr>
        <w:t>SignalMapping</w:t>
      </w:r>
      <w:r w:rsidRPr="00AA47FF">
        <w:rPr>
          <w:rFonts w:ascii="Arial" w:hAnsi="Arial" w:cs="Arial"/>
          <w:sz w:val="22"/>
          <w:szCs w:val="22"/>
        </w:rPr>
        <w:t>. Por ejemplo, un PMI de Estados Unidos subiendo es positivo para US Equity pero negativo para Treasuries — el mismo dato, signos opuestos según el activo.</w:t>
      </w:r>
    </w:p>
    <w:p w14:paraId="399A8DAB" w14:textId="590A632C" w:rsidR="00020931" w:rsidRPr="00AA47FF" w:rsidRDefault="00020931" w:rsidP="00680BE7">
      <w:pPr>
        <w:pStyle w:val="NormalWeb"/>
        <w:numPr>
          <w:ilvl w:val="0"/>
          <w:numId w:val="2"/>
        </w:numPr>
        <w:rPr>
          <w:rFonts w:ascii="Arial" w:hAnsi="Arial" w:cs="Arial"/>
          <w:sz w:val="22"/>
          <w:szCs w:val="22"/>
        </w:rPr>
      </w:pPr>
      <w:r w:rsidRPr="00AA47FF">
        <w:rPr>
          <w:rStyle w:val="Fuerte"/>
          <w:rFonts w:ascii="Arial" w:hAnsi="Arial" w:cs="Arial"/>
          <w:sz w:val="22"/>
          <w:szCs w:val="22"/>
        </w:rPr>
        <w:t>Cuarto, no shorts.</w:t>
      </w:r>
      <w:r w:rsidRPr="00AA47FF">
        <w:rPr>
          <w:rFonts w:ascii="Arial" w:hAnsi="Arial" w:cs="Arial"/>
          <w:sz w:val="22"/>
          <w:szCs w:val="22"/>
        </w:rPr>
        <w:t xml:space="preserve"> </w:t>
      </w:r>
      <w:r w:rsidR="00793C67">
        <w:rPr>
          <w:rFonts w:ascii="Arial" w:hAnsi="Arial" w:cs="Arial"/>
          <w:sz w:val="22"/>
          <w:szCs w:val="22"/>
        </w:rPr>
        <w:t>F</w:t>
      </w:r>
      <w:r w:rsidRPr="00AA47FF">
        <w:rPr>
          <w:rFonts w:ascii="Arial" w:hAnsi="Arial" w:cs="Arial"/>
          <w:sz w:val="22"/>
          <w:szCs w:val="22"/>
        </w:rPr>
        <w:t>orzamos suma cero y clippeamos pesos a no negativos. Los tilts</w:t>
      </w:r>
      <w:r w:rsidR="00793C67">
        <w:rPr>
          <w:rFonts w:ascii="Arial" w:hAnsi="Arial" w:cs="Arial"/>
          <w:sz w:val="22"/>
          <w:szCs w:val="22"/>
        </w:rPr>
        <w:t xml:space="preserve"> netos </w:t>
      </w:r>
      <w:r w:rsidRPr="00AA47FF">
        <w:rPr>
          <w:rFonts w:ascii="Arial" w:hAnsi="Arial" w:cs="Arial"/>
          <w:sz w:val="22"/>
          <w:szCs w:val="22"/>
        </w:rPr>
        <w:t xml:space="preserve">los absorben Money Market y Short-Term FI, que están en los portafolios pero </w:t>
      </w:r>
      <w:r w:rsidR="00793C67">
        <w:rPr>
          <w:rFonts w:ascii="Arial" w:hAnsi="Arial" w:cs="Arial"/>
          <w:sz w:val="22"/>
          <w:szCs w:val="22"/>
        </w:rPr>
        <w:t xml:space="preserve">que </w:t>
      </w:r>
      <w:r w:rsidRPr="00AA47FF">
        <w:rPr>
          <w:rFonts w:ascii="Arial" w:hAnsi="Arial" w:cs="Arial"/>
          <w:sz w:val="22"/>
          <w:szCs w:val="22"/>
        </w:rPr>
        <w:t>no reciben señal TAA.</w:t>
      </w:r>
    </w:p>
    <w:p w14:paraId="7939A23F" w14:textId="77777777" w:rsidR="00020931" w:rsidRPr="00AA47FF" w:rsidRDefault="00020931" w:rsidP="00680BE7">
      <w:pPr>
        <w:pStyle w:val="NormalWeb"/>
        <w:numPr>
          <w:ilvl w:val="0"/>
          <w:numId w:val="2"/>
        </w:numPr>
        <w:rPr>
          <w:rFonts w:ascii="Arial" w:hAnsi="Arial" w:cs="Arial"/>
          <w:sz w:val="22"/>
          <w:szCs w:val="22"/>
        </w:rPr>
      </w:pPr>
      <w:r w:rsidRPr="00AA47FF">
        <w:rPr>
          <w:rStyle w:val="Fuerte"/>
          <w:rFonts w:ascii="Arial" w:hAnsi="Arial" w:cs="Arial"/>
          <w:sz w:val="22"/>
          <w:szCs w:val="22"/>
        </w:rPr>
        <w:t>Quinto, reproducibilidad total.</w:t>
      </w:r>
      <w:r w:rsidRPr="00AA47FF">
        <w:rPr>
          <w:rFonts w:ascii="Arial" w:hAnsi="Arial" w:cs="Arial"/>
          <w:sz w:val="22"/>
          <w:szCs w:val="22"/>
        </w:rPr>
        <w:t xml:space="preserve"> Cada corrida tiene un timestamp </w:t>
      </w:r>
      <w:r w:rsidRPr="00AA47FF">
        <w:rPr>
          <w:rStyle w:val="CdigoHTML"/>
          <w:rFonts w:ascii="Arial" w:hAnsi="Arial" w:cs="Arial"/>
          <w:sz w:val="22"/>
          <w:szCs w:val="22"/>
        </w:rPr>
        <w:t>RUN_YYYYMMDD_HHMMSS</w:t>
      </w:r>
      <w:r w:rsidRPr="00AA47FF">
        <w:rPr>
          <w:rFonts w:ascii="Arial" w:hAnsi="Arial" w:cs="Arial"/>
          <w:sz w:val="22"/>
          <w:szCs w:val="22"/>
        </w:rPr>
        <w:t>. Mismo input + misma config = mismo output. Siempre.</w:t>
      </w:r>
    </w:p>
    <w:p w14:paraId="331255E1" w14:textId="77777777" w:rsidR="00020931" w:rsidRPr="00AA47FF" w:rsidRDefault="00020931" w:rsidP="00020931">
      <w:pPr>
        <w:pStyle w:val="NormalWeb"/>
        <w:rPr>
          <w:rFonts w:ascii="Arial" w:hAnsi="Arial" w:cs="Arial"/>
          <w:sz w:val="22"/>
          <w:szCs w:val="22"/>
        </w:rPr>
      </w:pPr>
      <w:r w:rsidRPr="00AA47FF">
        <w:rPr>
          <w:rFonts w:ascii="Arial" w:hAnsi="Arial" w:cs="Arial"/>
          <w:sz w:val="22"/>
          <w:szCs w:val="22"/>
        </w:rPr>
        <w:t xml:space="preserve">En cuanto al universo, son </w:t>
      </w:r>
      <w:r w:rsidRPr="00AA47FF">
        <w:rPr>
          <w:rStyle w:val="Fuerte"/>
          <w:rFonts w:ascii="Arial" w:hAnsi="Arial" w:cs="Arial"/>
          <w:sz w:val="22"/>
          <w:szCs w:val="22"/>
        </w:rPr>
        <w:t>6 asset classes activos</w:t>
      </w:r>
      <w:r w:rsidRPr="00AA47FF">
        <w:rPr>
          <w:rFonts w:ascii="Arial" w:hAnsi="Arial" w:cs="Arial"/>
          <w:sz w:val="22"/>
          <w:szCs w:val="22"/>
        </w:rPr>
        <w:t>: tres de renta fija — Treasuries largos, US Corporate largo y EM Fixed Income — y tres de renta variable — US Equity, DM ex-US Equity y EM Equity. Estos 6 ACs se agrupan en 4 buckets de Nivel 1 para la vista jerárquica."</w:t>
      </w:r>
    </w:p>
    <w:p w14:paraId="6175707A" w14:textId="77777777" w:rsidR="00020931" w:rsidRPr="00680BE7" w:rsidRDefault="00020931" w:rsidP="00680BE7">
      <w:pPr>
        <w:pStyle w:val="Ttulo2"/>
        <w:pBdr>
          <w:bottom w:val="single" w:sz="4" w:space="1" w:color="auto"/>
        </w:pBdr>
        <w:rPr>
          <w:rFonts w:ascii="Arial" w:hAnsi="Arial" w:cs="Arial"/>
          <w:b/>
          <w:bCs/>
          <w:sz w:val="22"/>
          <w:szCs w:val="22"/>
        </w:rPr>
      </w:pPr>
      <w:r w:rsidRPr="00680BE7">
        <w:rPr>
          <w:rFonts w:ascii="Arial" w:hAnsi="Arial" w:cs="Arial"/>
          <w:b/>
          <w:bCs/>
          <w:sz w:val="22"/>
          <w:szCs w:val="22"/>
        </w:rPr>
        <w:t>Construcción del sistema (Slide 4)</w:t>
      </w:r>
    </w:p>
    <w:p w14:paraId="7168ED0E" w14:textId="77777777" w:rsidR="00020931" w:rsidRPr="00AA47FF" w:rsidRDefault="00020931" w:rsidP="00020931">
      <w:pPr>
        <w:pStyle w:val="NormalWeb"/>
        <w:rPr>
          <w:rFonts w:ascii="Arial" w:hAnsi="Arial" w:cs="Arial"/>
          <w:sz w:val="22"/>
          <w:szCs w:val="22"/>
        </w:rPr>
      </w:pPr>
      <w:r w:rsidRPr="00AA47FF">
        <w:rPr>
          <w:rFonts w:ascii="Arial" w:hAnsi="Arial" w:cs="Arial"/>
          <w:sz w:val="22"/>
          <w:szCs w:val="22"/>
        </w:rPr>
        <w:t>"El pipeline tiene cinco etapas que conviene tener claras.</w:t>
      </w:r>
    </w:p>
    <w:p w14:paraId="615B3223" w14:textId="77777777" w:rsidR="00020931" w:rsidRPr="00AA47FF" w:rsidRDefault="00020931" w:rsidP="00680BE7">
      <w:pPr>
        <w:pStyle w:val="NormalWeb"/>
        <w:numPr>
          <w:ilvl w:val="0"/>
          <w:numId w:val="3"/>
        </w:numPr>
        <w:rPr>
          <w:rFonts w:ascii="Arial" w:hAnsi="Arial" w:cs="Arial"/>
          <w:sz w:val="22"/>
          <w:szCs w:val="22"/>
        </w:rPr>
      </w:pPr>
      <w:r w:rsidRPr="00AA47FF">
        <w:rPr>
          <w:rStyle w:val="Fuerte"/>
          <w:rFonts w:ascii="Arial" w:hAnsi="Arial" w:cs="Arial"/>
          <w:sz w:val="22"/>
          <w:szCs w:val="22"/>
        </w:rPr>
        <w:t>Etapa 1, signal pillars:</w:t>
      </w:r>
      <w:r w:rsidRPr="00AA47FF">
        <w:rPr>
          <w:rFonts w:ascii="Arial" w:hAnsi="Arial" w:cs="Arial"/>
          <w:sz w:val="22"/>
          <w:szCs w:val="22"/>
        </w:rPr>
        <w:t xml:space="preserve"> agrupamos las señales por rol económico — fundamentos, momentum, sentimiento y valuación.</w:t>
      </w:r>
    </w:p>
    <w:p w14:paraId="029F52E4" w14:textId="77777777" w:rsidR="00020931" w:rsidRPr="00AA47FF" w:rsidRDefault="00020931" w:rsidP="00680BE7">
      <w:pPr>
        <w:pStyle w:val="NormalWeb"/>
        <w:numPr>
          <w:ilvl w:val="0"/>
          <w:numId w:val="3"/>
        </w:numPr>
        <w:rPr>
          <w:rFonts w:ascii="Arial" w:hAnsi="Arial" w:cs="Arial"/>
          <w:sz w:val="22"/>
          <w:szCs w:val="22"/>
        </w:rPr>
      </w:pPr>
      <w:r w:rsidRPr="00AA47FF">
        <w:rPr>
          <w:rStyle w:val="Fuerte"/>
          <w:rFonts w:ascii="Arial" w:hAnsi="Arial" w:cs="Arial"/>
          <w:sz w:val="22"/>
          <w:szCs w:val="22"/>
        </w:rPr>
        <w:lastRenderedPageBreak/>
        <w:t>Etapa 2, transforms:</w:t>
      </w:r>
      <w:r w:rsidRPr="00AA47FF">
        <w:rPr>
          <w:rFonts w:ascii="Arial" w:hAnsi="Arial" w:cs="Arial"/>
          <w:sz w:val="22"/>
          <w:szCs w:val="22"/>
        </w:rPr>
        <w:t xml:space="preserve"> convertimos series crudas en z-scores comparables. No se puede sumar un PMI con un spread de crédito sin estandarizar primero.</w:t>
      </w:r>
    </w:p>
    <w:p w14:paraId="353BB711" w14:textId="6FC2D2BA" w:rsidR="00020931" w:rsidRPr="00AA47FF" w:rsidRDefault="00020931" w:rsidP="00680BE7">
      <w:pPr>
        <w:pStyle w:val="NormalWeb"/>
        <w:numPr>
          <w:ilvl w:val="0"/>
          <w:numId w:val="3"/>
        </w:numPr>
        <w:rPr>
          <w:rFonts w:ascii="Arial" w:hAnsi="Arial" w:cs="Arial"/>
          <w:sz w:val="22"/>
          <w:szCs w:val="22"/>
        </w:rPr>
      </w:pPr>
      <w:r w:rsidRPr="00AA47FF">
        <w:rPr>
          <w:rStyle w:val="Fuerte"/>
          <w:rFonts w:ascii="Arial" w:hAnsi="Arial" w:cs="Arial"/>
          <w:sz w:val="22"/>
          <w:szCs w:val="22"/>
        </w:rPr>
        <w:t>Etapa 3, pillar construction:</w:t>
      </w:r>
      <w:r w:rsidRPr="00AA47FF">
        <w:rPr>
          <w:rFonts w:ascii="Arial" w:hAnsi="Arial" w:cs="Arial"/>
          <w:sz w:val="22"/>
          <w:szCs w:val="22"/>
        </w:rPr>
        <w:t xml:space="preserve"> dentro de cada pilar, tomamos las señales firmadas, las promediamos ponderadamente, y </w:t>
      </w:r>
      <w:r w:rsidRPr="00AA47FF">
        <w:rPr>
          <w:rStyle w:val="nfasis"/>
          <w:rFonts w:ascii="Arial" w:hAnsi="Arial" w:cs="Arial"/>
          <w:sz w:val="22"/>
          <w:szCs w:val="22"/>
        </w:rPr>
        <w:t>re-estandarizamos</w:t>
      </w:r>
      <w:r w:rsidRPr="00AA47FF">
        <w:rPr>
          <w:rFonts w:ascii="Arial" w:hAnsi="Arial" w:cs="Arial"/>
          <w:sz w:val="22"/>
          <w:szCs w:val="22"/>
        </w:rPr>
        <w:t xml:space="preserve"> el resultado contra su propia historia. Volveremos sobre este punto porque es </w:t>
      </w:r>
      <w:r w:rsidR="00680BE7">
        <w:rPr>
          <w:rFonts w:ascii="Arial" w:hAnsi="Arial" w:cs="Arial"/>
          <w:sz w:val="22"/>
          <w:szCs w:val="22"/>
        </w:rPr>
        <w:t>relevante</w:t>
      </w:r>
      <w:r w:rsidRPr="00AA47FF">
        <w:rPr>
          <w:rFonts w:ascii="Arial" w:hAnsi="Arial" w:cs="Arial"/>
          <w:sz w:val="22"/>
          <w:szCs w:val="22"/>
        </w:rPr>
        <w:t>.</w:t>
      </w:r>
    </w:p>
    <w:p w14:paraId="4EEAD088" w14:textId="77777777" w:rsidR="00020931" w:rsidRPr="00AA47FF" w:rsidRDefault="00020931" w:rsidP="00680BE7">
      <w:pPr>
        <w:pStyle w:val="NormalWeb"/>
        <w:numPr>
          <w:ilvl w:val="0"/>
          <w:numId w:val="3"/>
        </w:numPr>
        <w:rPr>
          <w:rFonts w:ascii="Arial" w:hAnsi="Arial" w:cs="Arial"/>
          <w:sz w:val="22"/>
          <w:szCs w:val="22"/>
        </w:rPr>
      </w:pPr>
      <w:r w:rsidRPr="00AA47FF">
        <w:rPr>
          <w:rStyle w:val="Fuerte"/>
          <w:rFonts w:ascii="Arial" w:hAnsi="Arial" w:cs="Arial"/>
          <w:sz w:val="22"/>
          <w:szCs w:val="22"/>
        </w:rPr>
        <w:t>Etapa 4, composite scoring:</w:t>
      </w:r>
      <w:r w:rsidRPr="00AA47FF">
        <w:rPr>
          <w:rFonts w:ascii="Arial" w:hAnsi="Arial" w:cs="Arial"/>
          <w:sz w:val="22"/>
          <w:szCs w:val="22"/>
        </w:rPr>
        <w:t xml:space="preserve"> combinamos los cuatro pilares F/M/S/V con pesos específicos por asset class.</w:t>
      </w:r>
    </w:p>
    <w:p w14:paraId="214EDB95" w14:textId="77777777" w:rsidR="00020931" w:rsidRPr="00AA47FF" w:rsidRDefault="00020931" w:rsidP="00680BE7">
      <w:pPr>
        <w:pStyle w:val="NormalWeb"/>
        <w:numPr>
          <w:ilvl w:val="0"/>
          <w:numId w:val="3"/>
        </w:numPr>
        <w:rPr>
          <w:rFonts w:ascii="Arial" w:hAnsi="Arial" w:cs="Arial"/>
          <w:sz w:val="22"/>
          <w:szCs w:val="22"/>
        </w:rPr>
      </w:pPr>
      <w:r w:rsidRPr="00AA47FF">
        <w:rPr>
          <w:rStyle w:val="Fuerte"/>
          <w:rFonts w:ascii="Arial" w:hAnsi="Arial" w:cs="Arial"/>
          <w:sz w:val="22"/>
          <w:szCs w:val="22"/>
        </w:rPr>
        <w:t>Etapa 5, views:</w:t>
      </w:r>
      <w:r w:rsidRPr="00AA47FF">
        <w:rPr>
          <w:rFonts w:ascii="Arial" w:hAnsi="Arial" w:cs="Arial"/>
          <w:sz w:val="22"/>
          <w:szCs w:val="22"/>
        </w:rPr>
        <w:t xml:space="preserve"> el composite se traduce en un tilt absoluto y un tilt relativo, y mezclamos ambos 35/65."</w:t>
      </w:r>
    </w:p>
    <w:p w14:paraId="694AA55D" w14:textId="77777777" w:rsidR="00020931" w:rsidRPr="00680BE7" w:rsidRDefault="00020931" w:rsidP="00680BE7">
      <w:pPr>
        <w:pStyle w:val="Ttulo2"/>
        <w:pBdr>
          <w:bottom w:val="single" w:sz="4" w:space="1" w:color="auto"/>
        </w:pBdr>
        <w:rPr>
          <w:rFonts w:ascii="Arial" w:hAnsi="Arial" w:cs="Arial"/>
          <w:b/>
          <w:bCs/>
          <w:sz w:val="22"/>
          <w:szCs w:val="22"/>
        </w:rPr>
      </w:pPr>
      <w:r w:rsidRPr="00680BE7">
        <w:rPr>
          <w:rFonts w:ascii="Arial" w:hAnsi="Arial" w:cs="Arial"/>
          <w:b/>
          <w:bCs/>
          <w:sz w:val="22"/>
          <w:szCs w:val="22"/>
        </w:rPr>
        <w:t>Signal Engine (Slide 7)</w:t>
      </w:r>
    </w:p>
    <w:p w14:paraId="6FB6D080" w14:textId="52CCD22F" w:rsidR="00020931" w:rsidRPr="00AA47FF" w:rsidRDefault="00020931" w:rsidP="00020931">
      <w:pPr>
        <w:pStyle w:val="NormalWeb"/>
        <w:rPr>
          <w:rFonts w:ascii="Arial" w:hAnsi="Arial" w:cs="Arial"/>
          <w:sz w:val="22"/>
          <w:szCs w:val="22"/>
        </w:rPr>
      </w:pPr>
      <w:r w:rsidRPr="00AA47FF">
        <w:rPr>
          <w:rFonts w:ascii="Arial" w:hAnsi="Arial" w:cs="Arial"/>
          <w:sz w:val="22"/>
          <w:szCs w:val="22"/>
        </w:rPr>
        <w:t xml:space="preserve">"El corazón cuantitativo son los seis códigos de transformación. </w:t>
      </w:r>
      <w:r w:rsidR="00B66D25">
        <w:rPr>
          <w:rFonts w:ascii="Arial" w:hAnsi="Arial" w:cs="Arial"/>
          <w:sz w:val="22"/>
          <w:szCs w:val="22"/>
        </w:rPr>
        <w:t>La lógica utilizada es la siguiente</w:t>
      </w:r>
      <w:r w:rsidRPr="00AA47FF">
        <w:rPr>
          <w:rFonts w:ascii="Arial" w:hAnsi="Arial" w:cs="Arial"/>
          <w:sz w:val="22"/>
          <w:szCs w:val="22"/>
        </w:rPr>
        <w:t>:</w:t>
      </w:r>
    </w:p>
    <w:p w14:paraId="5369B808" w14:textId="77777777" w:rsidR="00020931" w:rsidRPr="00AA47FF" w:rsidRDefault="00020931" w:rsidP="00B66D25">
      <w:pPr>
        <w:pStyle w:val="NormalWeb"/>
        <w:numPr>
          <w:ilvl w:val="0"/>
          <w:numId w:val="4"/>
        </w:numPr>
        <w:rPr>
          <w:rFonts w:ascii="Arial" w:hAnsi="Arial" w:cs="Arial"/>
          <w:sz w:val="22"/>
          <w:szCs w:val="22"/>
        </w:rPr>
      </w:pPr>
      <w:r w:rsidRPr="00B66D25">
        <w:rPr>
          <w:rStyle w:val="CdigoHTML"/>
          <w:rFonts w:ascii="Arial" w:hAnsi="Arial" w:cs="Arial"/>
          <w:b/>
          <w:bCs/>
          <w:sz w:val="22"/>
          <w:szCs w:val="22"/>
        </w:rPr>
        <w:t>ewma_z</w:t>
      </w:r>
      <w:r w:rsidRPr="00AA47FF">
        <w:rPr>
          <w:rFonts w:ascii="Arial" w:hAnsi="Arial" w:cs="Arial"/>
          <w:sz w:val="22"/>
          <w:szCs w:val="22"/>
        </w:rPr>
        <w:t xml:space="preserve"> se usa para señales donde lo relevante es el régimen reciente — VIX, DXY, PMIs. Compara el valor de hoy con una media exponencialmente ponderada de los últimos tres años. Un VIX de 20 era elevado en 2016 y es normal en 2023; el </w:t>
      </w:r>
      <w:r w:rsidRPr="00AA47FF">
        <w:rPr>
          <w:rStyle w:val="CdigoHTML"/>
          <w:rFonts w:ascii="Arial" w:hAnsi="Arial" w:cs="Arial"/>
          <w:sz w:val="22"/>
          <w:szCs w:val="22"/>
        </w:rPr>
        <w:t>ewma_z</w:t>
      </w:r>
      <w:r w:rsidRPr="00AA47FF">
        <w:rPr>
          <w:rFonts w:ascii="Arial" w:hAnsi="Arial" w:cs="Arial"/>
          <w:sz w:val="22"/>
          <w:szCs w:val="22"/>
        </w:rPr>
        <w:t xml:space="preserve"> adapta esa lectura al régimen.</w:t>
      </w:r>
    </w:p>
    <w:p w14:paraId="19C5FCBA" w14:textId="77777777" w:rsidR="00020931" w:rsidRPr="00AA47FF" w:rsidRDefault="00020931" w:rsidP="00B66D25">
      <w:pPr>
        <w:pStyle w:val="NormalWeb"/>
        <w:numPr>
          <w:ilvl w:val="0"/>
          <w:numId w:val="4"/>
        </w:numPr>
        <w:rPr>
          <w:rFonts w:ascii="Arial" w:hAnsi="Arial" w:cs="Arial"/>
          <w:sz w:val="22"/>
          <w:szCs w:val="22"/>
        </w:rPr>
      </w:pPr>
      <w:r w:rsidRPr="00B66D25">
        <w:rPr>
          <w:rStyle w:val="CdigoHTML"/>
          <w:rFonts w:ascii="Arial" w:hAnsi="Arial" w:cs="Arial"/>
          <w:b/>
          <w:bCs/>
          <w:sz w:val="22"/>
          <w:szCs w:val="22"/>
        </w:rPr>
        <w:t>rolling_z</w:t>
      </w:r>
      <w:r w:rsidRPr="00AA47FF">
        <w:rPr>
          <w:rFonts w:ascii="Arial" w:hAnsi="Arial" w:cs="Arial"/>
          <w:sz w:val="22"/>
          <w:szCs w:val="22"/>
        </w:rPr>
        <w:t xml:space="preserve"> se usa para señales con ciclos seculares largos — breakevens de inflación, ERP, term spread. Compara contra una ventana fija larga, porque estos activos oscilan en frecuencias de décadas.</w:t>
      </w:r>
    </w:p>
    <w:p w14:paraId="5B7D1BAC" w14:textId="77777777" w:rsidR="00020931" w:rsidRPr="00AA47FF" w:rsidRDefault="00020931" w:rsidP="00B66D25">
      <w:pPr>
        <w:pStyle w:val="NormalWeb"/>
        <w:numPr>
          <w:ilvl w:val="0"/>
          <w:numId w:val="4"/>
        </w:numPr>
        <w:rPr>
          <w:rFonts w:ascii="Arial" w:hAnsi="Arial" w:cs="Arial"/>
          <w:sz w:val="22"/>
          <w:szCs w:val="22"/>
        </w:rPr>
      </w:pPr>
      <w:r w:rsidRPr="00B66D25">
        <w:rPr>
          <w:rStyle w:val="CdigoHTML"/>
          <w:rFonts w:ascii="Arial" w:hAnsi="Arial" w:cs="Arial"/>
          <w:b/>
          <w:bCs/>
          <w:sz w:val="22"/>
          <w:szCs w:val="22"/>
        </w:rPr>
        <w:t>pctile</w:t>
      </w:r>
      <w:r w:rsidRPr="00AA47FF">
        <w:rPr>
          <w:rFonts w:ascii="Arial" w:hAnsi="Arial" w:cs="Arial"/>
          <w:sz w:val="22"/>
          <w:szCs w:val="22"/>
        </w:rPr>
        <w:t xml:space="preserve"> se usa para series con colas gordas y asimétricas — spreads de OAS y niveles de yield. Es distribution-free: te dice si estás en el percentil 80 o en el 20, sin asumir normalidad.</w:t>
      </w:r>
    </w:p>
    <w:p w14:paraId="699B86D9" w14:textId="77777777" w:rsidR="00020931" w:rsidRPr="00AA47FF" w:rsidRDefault="00020931" w:rsidP="00B66D25">
      <w:pPr>
        <w:pStyle w:val="NormalWeb"/>
        <w:numPr>
          <w:ilvl w:val="0"/>
          <w:numId w:val="4"/>
        </w:numPr>
        <w:rPr>
          <w:rFonts w:ascii="Arial" w:hAnsi="Arial" w:cs="Arial"/>
          <w:sz w:val="22"/>
          <w:szCs w:val="22"/>
        </w:rPr>
      </w:pPr>
      <w:r w:rsidRPr="00B66D25">
        <w:rPr>
          <w:rStyle w:val="CdigoHTML"/>
          <w:rFonts w:ascii="Arial" w:hAnsi="Arial" w:cs="Arial"/>
          <w:b/>
          <w:bCs/>
          <w:sz w:val="22"/>
          <w:szCs w:val="22"/>
        </w:rPr>
        <w:t>mom_z</w:t>
      </w:r>
      <w:r w:rsidRPr="00AA47FF">
        <w:rPr>
          <w:rFonts w:ascii="Arial" w:hAnsi="Arial" w:cs="Arial"/>
          <w:sz w:val="22"/>
          <w:szCs w:val="22"/>
        </w:rPr>
        <w:t xml:space="preserve"> mide aceleración — lo usamos en EPS revisions, donde no importa el nivel sino qué tan rápido están subiendo o bajando los analistas las estimaciones.</w:t>
      </w:r>
    </w:p>
    <w:p w14:paraId="0E912C38" w14:textId="77777777" w:rsidR="00020931" w:rsidRPr="00AA47FF" w:rsidRDefault="00020931" w:rsidP="00B66D25">
      <w:pPr>
        <w:pStyle w:val="NormalWeb"/>
        <w:numPr>
          <w:ilvl w:val="0"/>
          <w:numId w:val="4"/>
        </w:numPr>
        <w:rPr>
          <w:rFonts w:ascii="Arial" w:hAnsi="Arial" w:cs="Arial"/>
          <w:sz w:val="22"/>
          <w:szCs w:val="22"/>
        </w:rPr>
      </w:pPr>
      <w:r w:rsidRPr="00B66D25">
        <w:rPr>
          <w:rStyle w:val="CdigoHTML"/>
          <w:rFonts w:ascii="Arial" w:hAnsi="Arial" w:cs="Arial"/>
          <w:b/>
          <w:bCs/>
          <w:sz w:val="22"/>
          <w:szCs w:val="22"/>
        </w:rPr>
        <w:t>price_mom</w:t>
      </w:r>
      <w:r w:rsidRPr="00AA47FF">
        <w:rPr>
          <w:rFonts w:ascii="Arial" w:hAnsi="Arial" w:cs="Arial"/>
          <w:sz w:val="22"/>
          <w:szCs w:val="22"/>
        </w:rPr>
        <w:t xml:space="preserve"> es un composite multi-horizonte para índices de retorno total: 40% momentum 12 meses con skip del último mes, 25% momentum trimestral, 25% cruce de medias móviles, 10% RSI.</w:t>
      </w:r>
    </w:p>
    <w:p w14:paraId="725A1DB5" w14:textId="77777777" w:rsidR="00020931" w:rsidRPr="00AA47FF" w:rsidRDefault="00020931" w:rsidP="00B66D25">
      <w:pPr>
        <w:pStyle w:val="NormalWeb"/>
        <w:numPr>
          <w:ilvl w:val="0"/>
          <w:numId w:val="4"/>
        </w:numPr>
        <w:rPr>
          <w:rFonts w:ascii="Arial" w:hAnsi="Arial" w:cs="Arial"/>
          <w:sz w:val="22"/>
          <w:szCs w:val="22"/>
        </w:rPr>
      </w:pPr>
      <w:r w:rsidRPr="00B66D25">
        <w:rPr>
          <w:rStyle w:val="CdigoHTML"/>
          <w:rFonts w:ascii="Arial" w:hAnsi="Arial" w:cs="Arial"/>
          <w:b/>
          <w:bCs/>
          <w:sz w:val="22"/>
          <w:szCs w:val="22"/>
        </w:rPr>
        <w:t>diff_z</w:t>
      </w:r>
      <w:r w:rsidRPr="00AA47FF">
        <w:rPr>
          <w:rFonts w:ascii="Arial" w:hAnsi="Arial" w:cs="Arial"/>
          <w:sz w:val="22"/>
          <w:szCs w:val="22"/>
        </w:rPr>
        <w:t xml:space="preserve"> mide cambio absoluto — apropiado para spreads y yields donde 50 bps de tightening en 300 o en 600 significan económicamente lo mismo.</w:t>
      </w:r>
    </w:p>
    <w:p w14:paraId="06329FE5" w14:textId="77777777" w:rsidR="00020931" w:rsidRPr="00AA47FF" w:rsidRDefault="00020931" w:rsidP="00020931">
      <w:pPr>
        <w:pStyle w:val="NormalWeb"/>
        <w:rPr>
          <w:rFonts w:ascii="Arial" w:hAnsi="Arial" w:cs="Arial"/>
          <w:sz w:val="22"/>
          <w:szCs w:val="22"/>
        </w:rPr>
      </w:pPr>
      <w:r w:rsidRPr="00AA47FF">
        <w:rPr>
          <w:rFonts w:ascii="Arial" w:hAnsi="Arial" w:cs="Arial"/>
          <w:sz w:val="22"/>
          <w:szCs w:val="22"/>
        </w:rPr>
        <w:t>Todas las señales se clippean a ±3 sigma para evitar que valores de crisis distorsionen el sistema."</w:t>
      </w:r>
    </w:p>
    <w:p w14:paraId="5F2CC079" w14:textId="77777777" w:rsidR="00020931" w:rsidRPr="001A78D2" w:rsidRDefault="00020931" w:rsidP="001A78D2">
      <w:pPr>
        <w:pStyle w:val="Ttulo2"/>
        <w:pBdr>
          <w:bottom w:val="single" w:sz="4" w:space="1" w:color="auto"/>
        </w:pBdr>
        <w:rPr>
          <w:rFonts w:ascii="Arial" w:hAnsi="Arial" w:cs="Arial"/>
          <w:b/>
          <w:bCs/>
          <w:sz w:val="22"/>
          <w:szCs w:val="22"/>
        </w:rPr>
      </w:pPr>
      <w:r w:rsidRPr="001A78D2">
        <w:rPr>
          <w:rFonts w:ascii="Arial" w:hAnsi="Arial" w:cs="Arial"/>
          <w:b/>
          <w:bCs/>
          <w:sz w:val="22"/>
          <w:szCs w:val="22"/>
        </w:rPr>
        <w:t>Los Cuatro Pilares (Slides 10–11)</w:t>
      </w:r>
    </w:p>
    <w:p w14:paraId="52E0C935" w14:textId="77777777" w:rsidR="00020931" w:rsidRPr="00AA47FF" w:rsidRDefault="00020931" w:rsidP="00020931">
      <w:pPr>
        <w:pStyle w:val="NormalWeb"/>
        <w:rPr>
          <w:rFonts w:ascii="Arial" w:hAnsi="Arial" w:cs="Arial"/>
          <w:sz w:val="22"/>
          <w:szCs w:val="22"/>
        </w:rPr>
      </w:pPr>
      <w:r w:rsidRPr="00AA47FF">
        <w:rPr>
          <w:rFonts w:ascii="Arial" w:hAnsi="Arial" w:cs="Arial"/>
          <w:sz w:val="22"/>
          <w:szCs w:val="22"/>
        </w:rPr>
        <w:t>"Vamos a los cuatro pilares.</w:t>
      </w:r>
    </w:p>
    <w:p w14:paraId="1493DBA3" w14:textId="77777777" w:rsidR="00020931" w:rsidRPr="00AA47FF" w:rsidRDefault="00020931" w:rsidP="006940D0">
      <w:pPr>
        <w:pStyle w:val="NormalWeb"/>
        <w:numPr>
          <w:ilvl w:val="0"/>
          <w:numId w:val="5"/>
        </w:numPr>
        <w:rPr>
          <w:rFonts w:ascii="Arial" w:hAnsi="Arial" w:cs="Arial"/>
          <w:sz w:val="22"/>
          <w:szCs w:val="22"/>
        </w:rPr>
      </w:pPr>
      <w:r w:rsidRPr="00AA47FF">
        <w:rPr>
          <w:rStyle w:val="Fuerte"/>
          <w:rFonts w:ascii="Arial" w:hAnsi="Arial" w:cs="Arial"/>
          <w:sz w:val="22"/>
          <w:szCs w:val="22"/>
        </w:rPr>
        <w:t>Pillar F, Fundamentals.</w:t>
      </w:r>
      <w:r w:rsidRPr="00AA47FF">
        <w:rPr>
          <w:rFonts w:ascii="Arial" w:hAnsi="Arial" w:cs="Arial"/>
          <w:sz w:val="22"/>
          <w:szCs w:val="22"/>
        </w:rPr>
        <w:t xml:space="preserve"> El motor macro. Lee PMIs por región, índices de sorpresa económica CESI, GDP de consenso y GDPNow, EPS forward, inflación core PCE, breakevens y la tasa real de Fed Funds. Es el pilar que captura régimen macroeconómico — expansión o contracción, sorpresa positiva o negativa, política restrictiva o acomodaticia.</w:t>
      </w:r>
    </w:p>
    <w:p w14:paraId="075DA67A" w14:textId="0B14DAA5" w:rsidR="00020931" w:rsidRPr="00AA47FF" w:rsidRDefault="00020931" w:rsidP="006940D0">
      <w:pPr>
        <w:pStyle w:val="NormalWeb"/>
        <w:numPr>
          <w:ilvl w:val="0"/>
          <w:numId w:val="5"/>
        </w:numPr>
        <w:rPr>
          <w:rFonts w:ascii="Arial" w:hAnsi="Arial" w:cs="Arial"/>
          <w:sz w:val="22"/>
          <w:szCs w:val="22"/>
        </w:rPr>
      </w:pPr>
      <w:r w:rsidRPr="00AA47FF">
        <w:rPr>
          <w:rStyle w:val="Fuerte"/>
          <w:rFonts w:ascii="Arial" w:hAnsi="Arial" w:cs="Arial"/>
          <w:sz w:val="22"/>
          <w:szCs w:val="22"/>
        </w:rPr>
        <w:t>Pillar M, Momentum.</w:t>
      </w:r>
      <w:r w:rsidRPr="00AA47FF">
        <w:rPr>
          <w:rFonts w:ascii="Arial" w:hAnsi="Arial" w:cs="Arial"/>
          <w:sz w:val="22"/>
          <w:szCs w:val="22"/>
        </w:rPr>
        <w:t xml:space="preserve"> Captura tendencias de precio y spread. TR price indices con el </w:t>
      </w:r>
      <w:r w:rsidRPr="001A78D2">
        <w:rPr>
          <w:rFonts w:ascii="Arial" w:hAnsi="Arial" w:cs="Arial"/>
          <w:sz w:val="22"/>
          <w:szCs w:val="22"/>
          <w:highlight w:val="yellow"/>
        </w:rPr>
        <w:t>composite multi-horizonte</w:t>
      </w:r>
      <w:r w:rsidR="001A78D2">
        <w:rPr>
          <w:rFonts w:ascii="Arial" w:hAnsi="Arial" w:cs="Arial"/>
          <w:sz w:val="22"/>
          <w:szCs w:val="22"/>
        </w:rPr>
        <w:t xml:space="preserve"> (Price momentum)</w:t>
      </w:r>
      <w:r w:rsidRPr="00AA47FF">
        <w:rPr>
          <w:rFonts w:ascii="Arial" w:hAnsi="Arial" w:cs="Arial"/>
          <w:sz w:val="22"/>
          <w:szCs w:val="22"/>
        </w:rPr>
        <w:t>, momentum de spreads de crédito, momentum de yields, momentum de CDX. La idea económica es persistencia de tendencia — si las cosas vienen bien, tienden a seguir bien por un rato.</w:t>
      </w:r>
    </w:p>
    <w:p w14:paraId="618D1A06" w14:textId="292B3727" w:rsidR="00A94F7F" w:rsidRDefault="00020931" w:rsidP="00A94F7F">
      <w:pPr>
        <w:pStyle w:val="NormalWeb"/>
        <w:numPr>
          <w:ilvl w:val="0"/>
          <w:numId w:val="5"/>
        </w:numPr>
        <w:rPr>
          <w:rFonts w:ascii="Arial" w:hAnsi="Arial" w:cs="Arial"/>
          <w:sz w:val="22"/>
          <w:szCs w:val="22"/>
        </w:rPr>
      </w:pPr>
      <w:r w:rsidRPr="00AA47FF">
        <w:rPr>
          <w:rStyle w:val="Fuerte"/>
          <w:rFonts w:ascii="Arial" w:hAnsi="Arial" w:cs="Arial"/>
          <w:sz w:val="22"/>
          <w:szCs w:val="22"/>
        </w:rPr>
        <w:t>Pillar S, Sentiment.</w:t>
      </w:r>
      <w:r w:rsidRPr="00AA47FF">
        <w:rPr>
          <w:rFonts w:ascii="Arial" w:hAnsi="Arial" w:cs="Arial"/>
          <w:sz w:val="22"/>
          <w:szCs w:val="22"/>
        </w:rPr>
        <w:t xml:space="preserve"> Mide apetito de riesgo y posicionamiento. VIX, MOVE, VSTOXX, SKEW, AAII Bull-Bear, Put-Call Ratio, FCI Bloomberg, DXY. Combina señales contrarian — VIX alto = compra acciones — con señales pro-</w:t>
      </w:r>
      <w:r w:rsidRPr="00AA47FF">
        <w:rPr>
          <w:rFonts w:ascii="Arial" w:hAnsi="Arial" w:cs="Arial"/>
          <w:sz w:val="22"/>
          <w:szCs w:val="22"/>
        </w:rPr>
        <w:lastRenderedPageBreak/>
        <w:t>cíclicas — FCI tight = headwind para riesgo</w:t>
      </w:r>
      <w:r w:rsidR="003E492B">
        <w:rPr>
          <w:rFonts w:ascii="Arial" w:hAnsi="Arial" w:cs="Arial"/>
          <w:sz w:val="22"/>
          <w:szCs w:val="22"/>
        </w:rPr>
        <w:t xml:space="preserve"> (un viento en contra para las acciones y crédito)</w:t>
      </w:r>
    </w:p>
    <w:p w14:paraId="39901E1D" w14:textId="629C0062" w:rsidR="00A94F7F" w:rsidRPr="00A94F7F" w:rsidRDefault="00A94F7F" w:rsidP="00A94F7F">
      <w:pPr>
        <w:pStyle w:val="NormalWeb"/>
        <w:ind w:left="708"/>
        <w:rPr>
          <w:rFonts w:ascii="Arial" w:hAnsi="Arial" w:cs="Arial"/>
          <w:sz w:val="22"/>
          <w:szCs w:val="22"/>
        </w:rPr>
      </w:pPr>
      <w:r w:rsidRPr="00A94F7F">
        <w:rPr>
          <w:rFonts w:ascii="Arial" w:hAnsi="Arial" w:cs="Arial"/>
          <w:color w:val="7F7F7F" w:themeColor="text1" w:themeTint="80"/>
          <w:sz w:val="20"/>
          <w:szCs w:val="20"/>
        </w:rPr>
        <w:t>El cuarto pilar es Sentiment, y mide una sola cosa: ¿el mercado está en modo de tomar riesgo o en modo de protegerse? Para responder esa pregunta combinamos ocho indicadores. Algunos los usamos de forma contrarian — cuando el VIX, que es el índice del miedo del mercado accionario, está muy elevado, eso nos dice que el pesimismo ya está en los precios y tácticamente es señal de compra, no de venta; lo mismo con la encuesta AAII, que mide si los inversores individuales americanos son alcistas o bajistas — extremo bajista históricamente precede rebotes. Otros indicadores los usamos de forma directa: el FCI de Bloomberg, que resume si las condiciones financieras están fáciles o apretadas, es simplemente un viento en contra para activos de riesgo cuando está apretado, sin vuelta de tuerca; igual el DXY, el índice del dólar, donde dólar fuerte es directamente negativo para emergentes porque encarece su deuda y seca los flujos de capital. El punto es que estas dos lógicas — contrarian y pro-cíclica — no se contradicen: hablan del mismo fenómeno desde ángulos distintos, y el pilar pondera ambas para dar una lectura neta del ambiente de sentimiento para cada asset class."</w:t>
      </w:r>
    </w:p>
    <w:p w14:paraId="57534B4B" w14:textId="77777777" w:rsidR="00020931" w:rsidRPr="00AA47FF" w:rsidRDefault="00020931" w:rsidP="006940D0">
      <w:pPr>
        <w:pStyle w:val="NormalWeb"/>
        <w:numPr>
          <w:ilvl w:val="0"/>
          <w:numId w:val="5"/>
        </w:numPr>
        <w:rPr>
          <w:rFonts w:ascii="Arial" w:hAnsi="Arial" w:cs="Arial"/>
          <w:sz w:val="22"/>
          <w:szCs w:val="22"/>
        </w:rPr>
      </w:pPr>
      <w:r w:rsidRPr="00AA47FF">
        <w:rPr>
          <w:rStyle w:val="Fuerte"/>
          <w:rFonts w:ascii="Arial" w:hAnsi="Arial" w:cs="Arial"/>
          <w:sz w:val="22"/>
          <w:szCs w:val="22"/>
        </w:rPr>
        <w:t>Pillar V, Valuation.</w:t>
      </w:r>
      <w:r w:rsidRPr="00AA47FF">
        <w:rPr>
          <w:rFonts w:ascii="Arial" w:hAnsi="Arial" w:cs="Arial"/>
          <w:sz w:val="22"/>
          <w:szCs w:val="22"/>
        </w:rPr>
        <w:t xml:space="preserve"> Evalúa qué tan caro o barato está cada activo en términos absolutos y relativos. PE scores por región, Equity Risk Premium, PE relativos cross-section, niveles de OAS, niveles de yield, term spread. Ratio HY sobre IG.</w:t>
      </w:r>
    </w:p>
    <w:p w14:paraId="317C691E" w14:textId="44246EAF" w:rsidR="00020931" w:rsidRPr="00AA47FF" w:rsidRDefault="00020931" w:rsidP="00020931">
      <w:pPr>
        <w:pStyle w:val="NormalWeb"/>
        <w:rPr>
          <w:rFonts w:ascii="Arial" w:hAnsi="Arial" w:cs="Arial"/>
          <w:sz w:val="22"/>
          <w:szCs w:val="22"/>
        </w:rPr>
      </w:pPr>
      <w:r w:rsidRPr="00AA47FF">
        <w:rPr>
          <w:rStyle w:val="Fuerte"/>
          <w:rFonts w:ascii="Arial" w:hAnsi="Arial" w:cs="Arial"/>
          <w:sz w:val="22"/>
          <w:szCs w:val="22"/>
        </w:rPr>
        <w:t>Punto clave — la agregación dentro del pilar.</w:t>
      </w:r>
      <w:r w:rsidRPr="00AA47FF">
        <w:rPr>
          <w:rFonts w:ascii="Arial" w:hAnsi="Arial" w:cs="Arial"/>
          <w:sz w:val="22"/>
          <w:szCs w:val="22"/>
        </w:rPr>
        <w:t xml:space="preserve"> No es un simple promedio ponderado. Primero hacemos el promedio ponderado de las señales, y después </w:t>
      </w:r>
      <w:r w:rsidRPr="00AA47FF">
        <w:rPr>
          <w:rStyle w:val="nfasis"/>
          <w:rFonts w:ascii="Arial" w:hAnsi="Arial" w:cs="Arial"/>
          <w:sz w:val="22"/>
          <w:szCs w:val="22"/>
        </w:rPr>
        <w:t>re-estandarizamos</w:t>
      </w:r>
      <w:r w:rsidRPr="00AA47FF">
        <w:rPr>
          <w:rFonts w:ascii="Arial" w:hAnsi="Arial" w:cs="Arial"/>
          <w:sz w:val="22"/>
          <w:szCs w:val="22"/>
        </w:rPr>
        <w:t xml:space="preserve"> ese promedio contra su propia historia con un EWMA z-score. ¿Por qué? </w:t>
      </w:r>
      <w:r w:rsidRPr="00382619">
        <w:rPr>
          <w:rFonts w:ascii="Arial" w:hAnsi="Arial" w:cs="Arial"/>
          <w:sz w:val="22"/>
          <w:szCs w:val="22"/>
          <w:highlight w:val="darkBlue"/>
        </w:rPr>
        <w:t>Porque el promedio de z-scores correlacionados no tiene varianza unitaria,</w:t>
      </w:r>
      <w:r w:rsidRPr="00AA47FF">
        <w:rPr>
          <w:rFonts w:ascii="Arial" w:hAnsi="Arial" w:cs="Arial"/>
          <w:sz w:val="22"/>
          <w:szCs w:val="22"/>
        </w:rPr>
        <w:t xml:space="preserve"> y queremos que los cuatro pilares sean comparables entre sí antes de combinarse en el composite. Esto significa que el z-score del pilar que se ve en el dashboard es la posición histórica del pilar — no la suma directa de las señales individuales. Esto es importante de entender para leer el dashboard correctamente.</w:t>
      </w:r>
    </w:p>
    <w:p w14:paraId="0CD97AD2" w14:textId="77777777" w:rsidR="00020931" w:rsidRPr="00AA47FF" w:rsidRDefault="00020931" w:rsidP="00020931">
      <w:pPr>
        <w:pStyle w:val="NormalWeb"/>
        <w:rPr>
          <w:rFonts w:ascii="Arial" w:hAnsi="Arial" w:cs="Arial"/>
          <w:sz w:val="22"/>
          <w:szCs w:val="22"/>
        </w:rPr>
      </w:pPr>
      <w:r w:rsidRPr="00AA47FF">
        <w:rPr>
          <w:rFonts w:ascii="Arial" w:hAnsi="Arial" w:cs="Arial"/>
          <w:sz w:val="22"/>
          <w:szCs w:val="22"/>
        </w:rPr>
        <w:t>Los pesos entre pilares son aproximadamente balanceados, 25% cada uno, con ajustes específicos por asset class. Por ejemplo, en US Corporate damos más peso a momentum y valuación porque OAS es muy informativo."</w:t>
      </w:r>
    </w:p>
    <w:p w14:paraId="0E497261" w14:textId="77777777" w:rsidR="00020931" w:rsidRPr="00382619" w:rsidRDefault="00020931" w:rsidP="00382619">
      <w:pPr>
        <w:pStyle w:val="Ttulo2"/>
        <w:pBdr>
          <w:bottom w:val="single" w:sz="4" w:space="1" w:color="auto"/>
        </w:pBdr>
        <w:rPr>
          <w:rFonts w:ascii="Arial" w:hAnsi="Arial" w:cs="Arial"/>
          <w:b/>
          <w:bCs/>
          <w:sz w:val="22"/>
          <w:szCs w:val="22"/>
        </w:rPr>
      </w:pPr>
      <w:r w:rsidRPr="00382619">
        <w:rPr>
          <w:rFonts w:ascii="Arial" w:hAnsi="Arial" w:cs="Arial"/>
          <w:b/>
          <w:bCs/>
          <w:sz w:val="22"/>
          <w:szCs w:val="22"/>
        </w:rPr>
        <w:t>Composite y Conviction (Slide 13)</w:t>
      </w:r>
    </w:p>
    <w:p w14:paraId="32B5AD89" w14:textId="77777777" w:rsidR="00020931" w:rsidRPr="00AA47FF" w:rsidRDefault="00020931" w:rsidP="00020931">
      <w:pPr>
        <w:pStyle w:val="NormalWeb"/>
        <w:rPr>
          <w:rFonts w:ascii="Arial" w:hAnsi="Arial" w:cs="Arial"/>
          <w:sz w:val="22"/>
          <w:szCs w:val="22"/>
        </w:rPr>
      </w:pPr>
      <w:r w:rsidRPr="00AA47FF">
        <w:rPr>
          <w:rFonts w:ascii="Arial" w:hAnsi="Arial" w:cs="Arial"/>
          <w:sz w:val="22"/>
          <w:szCs w:val="22"/>
        </w:rPr>
        <w:t>"Una vez que tenemos los cuatro pilares, calculamos el composite como promedio ponderado de los cuatro pilares por asset class.</w:t>
      </w:r>
    </w:p>
    <w:p w14:paraId="7ECF2061" w14:textId="77777777" w:rsidR="00020931" w:rsidRPr="00AA47FF" w:rsidRDefault="00020931" w:rsidP="00020931">
      <w:pPr>
        <w:pStyle w:val="NormalWeb"/>
        <w:rPr>
          <w:rFonts w:ascii="Arial" w:hAnsi="Arial" w:cs="Arial"/>
          <w:sz w:val="22"/>
          <w:szCs w:val="22"/>
        </w:rPr>
      </w:pPr>
      <w:r w:rsidRPr="00AA47FF">
        <w:rPr>
          <w:rFonts w:ascii="Arial" w:hAnsi="Arial" w:cs="Arial"/>
          <w:sz w:val="22"/>
          <w:szCs w:val="22"/>
        </w:rPr>
        <w:t xml:space="preserve">Aquí entra el concepto de </w:t>
      </w:r>
      <w:r w:rsidRPr="00AA47FF">
        <w:rPr>
          <w:rStyle w:val="Fuerte"/>
          <w:rFonts w:ascii="Arial" w:hAnsi="Arial" w:cs="Arial"/>
          <w:sz w:val="22"/>
          <w:szCs w:val="22"/>
        </w:rPr>
        <w:t>conviction multiplier</w:t>
      </w:r>
      <w:r w:rsidRPr="00AA47FF">
        <w:rPr>
          <w:rFonts w:ascii="Arial" w:hAnsi="Arial" w:cs="Arial"/>
          <w:sz w:val="22"/>
          <w:szCs w:val="22"/>
        </w:rPr>
        <w:t>. La idea es simple: si los cuatro pilares apuntan en la misma dirección, tenemos full conviction y aplicamos el tilt completo. Si solo dos pilares concuerdan, aplicamos la mitad. Si solo uno concuerda, no aplicamos nada — aunque el composite parezca grande, lo forzamos a cero. Esto es una salvaguarda fundamental: no queremos tilts grandes basados en una sola señal del sistema.</w:t>
      </w:r>
    </w:p>
    <w:p w14:paraId="6B1A319B" w14:textId="77777777" w:rsidR="00020931" w:rsidRPr="00AA47FF" w:rsidRDefault="00020931" w:rsidP="00020931">
      <w:pPr>
        <w:pStyle w:val="NormalWeb"/>
        <w:rPr>
          <w:rFonts w:ascii="Arial" w:hAnsi="Arial" w:cs="Arial"/>
          <w:sz w:val="22"/>
          <w:szCs w:val="22"/>
        </w:rPr>
      </w:pPr>
      <w:r w:rsidRPr="00AA47FF">
        <w:rPr>
          <w:rFonts w:ascii="Arial" w:hAnsi="Arial" w:cs="Arial"/>
          <w:sz w:val="22"/>
          <w:szCs w:val="22"/>
        </w:rPr>
        <w:t>Un pilar 'concuerda' si su z-score tiene el mismo signo que el composite y su magnitud absoluta supera 0.25 — para evitar ruido cerca de cero.</w:t>
      </w:r>
    </w:p>
    <w:p w14:paraId="66EDF7A0" w14:textId="77777777" w:rsidR="00020931" w:rsidRPr="00AA47FF" w:rsidRDefault="00020931" w:rsidP="00020931">
      <w:pPr>
        <w:pStyle w:val="NormalWeb"/>
        <w:rPr>
          <w:rFonts w:ascii="Arial" w:hAnsi="Arial" w:cs="Arial"/>
          <w:sz w:val="22"/>
          <w:szCs w:val="22"/>
        </w:rPr>
      </w:pPr>
      <w:r w:rsidRPr="00AA47FF">
        <w:rPr>
          <w:rFonts w:ascii="Arial" w:hAnsi="Arial" w:cs="Arial"/>
          <w:sz w:val="22"/>
          <w:szCs w:val="22"/>
        </w:rPr>
        <w:t xml:space="preserve">Y tenemos un </w:t>
      </w:r>
      <w:r w:rsidRPr="00AA47FF">
        <w:rPr>
          <w:rStyle w:val="Fuerte"/>
          <w:rFonts w:ascii="Arial" w:hAnsi="Arial" w:cs="Arial"/>
          <w:sz w:val="22"/>
          <w:szCs w:val="22"/>
        </w:rPr>
        <w:t>crisis override</w:t>
      </w:r>
      <w:r w:rsidRPr="00AA47FF">
        <w:rPr>
          <w:rFonts w:ascii="Arial" w:hAnsi="Arial" w:cs="Arial"/>
          <w:sz w:val="22"/>
          <w:szCs w:val="22"/>
        </w:rPr>
        <w:t xml:space="preserve">: cuando VIX y MOVE superan simultáneamente el percentil 80, todos los tilts se fuerzan a cero. La razón es académica: en regímenes de crisis las correlaciones cross-asset saltan a uno y la diversificación se rompe — justo </w:t>
      </w:r>
      <w:r w:rsidRPr="00AA47FF">
        <w:rPr>
          <w:rFonts w:ascii="Arial" w:hAnsi="Arial" w:cs="Arial"/>
          <w:sz w:val="22"/>
          <w:szCs w:val="22"/>
        </w:rPr>
        <w:lastRenderedPageBreak/>
        <w:t>el momento donde los signal systems sistemáticos son más vulnerables. Mejor no opinar."</w:t>
      </w:r>
    </w:p>
    <w:p w14:paraId="524199C1" w14:textId="77777777" w:rsidR="00020931" w:rsidRPr="00382619" w:rsidRDefault="00020931" w:rsidP="00382619">
      <w:pPr>
        <w:pStyle w:val="Ttulo2"/>
        <w:pBdr>
          <w:bottom w:val="single" w:sz="4" w:space="1" w:color="auto"/>
        </w:pBdr>
        <w:rPr>
          <w:rFonts w:ascii="Arial" w:hAnsi="Arial" w:cs="Arial"/>
          <w:b/>
          <w:bCs/>
          <w:sz w:val="22"/>
          <w:szCs w:val="22"/>
        </w:rPr>
      </w:pPr>
      <w:r w:rsidRPr="00382619">
        <w:rPr>
          <w:rFonts w:ascii="Arial" w:hAnsi="Arial" w:cs="Arial"/>
          <w:b/>
          <w:bCs/>
          <w:sz w:val="22"/>
          <w:szCs w:val="22"/>
        </w:rPr>
        <w:t>Conviction Thresholds (Slide 15)</w:t>
      </w:r>
    </w:p>
    <w:p w14:paraId="39B458C8" w14:textId="77777777" w:rsidR="00020931" w:rsidRPr="00AA47FF" w:rsidRDefault="00020931" w:rsidP="00020931">
      <w:pPr>
        <w:pStyle w:val="NormalWeb"/>
        <w:rPr>
          <w:rFonts w:ascii="Arial" w:hAnsi="Arial" w:cs="Arial"/>
          <w:sz w:val="22"/>
          <w:szCs w:val="22"/>
        </w:rPr>
      </w:pPr>
      <w:r w:rsidRPr="00AA47FF">
        <w:rPr>
          <w:rFonts w:ascii="Arial" w:hAnsi="Arial" w:cs="Arial"/>
          <w:sz w:val="22"/>
          <w:szCs w:val="22"/>
        </w:rPr>
        <w:t>"El mapeo de composite a tilt es por niveles discretos:</w:t>
      </w:r>
    </w:p>
    <w:p w14:paraId="56BEB810" w14:textId="77777777" w:rsidR="00020931" w:rsidRPr="00AA47FF" w:rsidRDefault="00020931" w:rsidP="00020931">
      <w:pPr>
        <w:numPr>
          <w:ilvl w:val="0"/>
          <w:numId w:val="1"/>
        </w:numPr>
        <w:spacing w:before="100" w:beforeAutospacing="1" w:after="100" w:afterAutospacing="1" w:line="240" w:lineRule="auto"/>
        <w:rPr>
          <w:rFonts w:ascii="Arial" w:hAnsi="Arial" w:cs="Arial"/>
          <w:sz w:val="22"/>
          <w:szCs w:val="22"/>
        </w:rPr>
      </w:pPr>
      <w:r w:rsidRPr="00AA47FF">
        <w:rPr>
          <w:rFonts w:ascii="Arial" w:hAnsi="Arial" w:cs="Arial"/>
          <w:sz w:val="22"/>
          <w:szCs w:val="22"/>
        </w:rPr>
        <w:t>Z mayor a +1.5: HIGH OW, tilt fraction +1.0</w:t>
      </w:r>
    </w:p>
    <w:p w14:paraId="6DA81B9F" w14:textId="77777777" w:rsidR="00020931" w:rsidRPr="00AA47FF" w:rsidRDefault="00020931" w:rsidP="00020931">
      <w:pPr>
        <w:numPr>
          <w:ilvl w:val="0"/>
          <w:numId w:val="1"/>
        </w:numPr>
        <w:spacing w:before="100" w:beforeAutospacing="1" w:after="100" w:afterAutospacing="1" w:line="240" w:lineRule="auto"/>
        <w:rPr>
          <w:rFonts w:ascii="Arial" w:hAnsi="Arial" w:cs="Arial"/>
          <w:sz w:val="22"/>
          <w:szCs w:val="22"/>
        </w:rPr>
      </w:pPr>
      <w:r w:rsidRPr="00AA47FF">
        <w:rPr>
          <w:rFonts w:ascii="Arial" w:hAnsi="Arial" w:cs="Arial"/>
          <w:sz w:val="22"/>
          <w:szCs w:val="22"/>
        </w:rPr>
        <w:t>Z entre +0.75 y +1.5: MEDIUM OW, +0.5</w:t>
      </w:r>
    </w:p>
    <w:p w14:paraId="65388C7C" w14:textId="77777777" w:rsidR="00020931" w:rsidRPr="00AA47FF" w:rsidRDefault="00020931" w:rsidP="00020931">
      <w:pPr>
        <w:numPr>
          <w:ilvl w:val="0"/>
          <w:numId w:val="1"/>
        </w:numPr>
        <w:spacing w:before="100" w:beforeAutospacing="1" w:after="100" w:afterAutospacing="1" w:line="240" w:lineRule="auto"/>
        <w:rPr>
          <w:rFonts w:ascii="Arial" w:hAnsi="Arial" w:cs="Arial"/>
          <w:sz w:val="22"/>
          <w:szCs w:val="22"/>
        </w:rPr>
      </w:pPr>
      <w:r w:rsidRPr="00AA47FF">
        <w:rPr>
          <w:rFonts w:ascii="Arial" w:hAnsi="Arial" w:cs="Arial"/>
          <w:sz w:val="22"/>
          <w:szCs w:val="22"/>
        </w:rPr>
        <w:t>Z entre −0.75 y +0.75: NEUTRAL, sin tilt</w:t>
      </w:r>
    </w:p>
    <w:p w14:paraId="45725646" w14:textId="77777777" w:rsidR="00020931" w:rsidRPr="00AA47FF" w:rsidRDefault="00020931" w:rsidP="00020931">
      <w:pPr>
        <w:numPr>
          <w:ilvl w:val="0"/>
          <w:numId w:val="1"/>
        </w:numPr>
        <w:spacing w:before="100" w:beforeAutospacing="1" w:after="100" w:afterAutospacing="1" w:line="240" w:lineRule="auto"/>
        <w:rPr>
          <w:rFonts w:ascii="Arial" w:hAnsi="Arial" w:cs="Arial"/>
          <w:sz w:val="22"/>
          <w:szCs w:val="22"/>
        </w:rPr>
      </w:pPr>
      <w:r w:rsidRPr="00AA47FF">
        <w:rPr>
          <w:rFonts w:ascii="Arial" w:hAnsi="Arial" w:cs="Arial"/>
          <w:sz w:val="22"/>
          <w:szCs w:val="22"/>
        </w:rPr>
        <w:t>Z entre −1.5 y −0.75: MEDIUM UW, −0.5</w:t>
      </w:r>
    </w:p>
    <w:p w14:paraId="4E64A47B" w14:textId="77777777" w:rsidR="00020931" w:rsidRPr="00AA47FF" w:rsidRDefault="00020931" w:rsidP="00020931">
      <w:pPr>
        <w:numPr>
          <w:ilvl w:val="0"/>
          <w:numId w:val="1"/>
        </w:numPr>
        <w:spacing w:before="100" w:beforeAutospacing="1" w:after="100" w:afterAutospacing="1" w:line="240" w:lineRule="auto"/>
        <w:rPr>
          <w:rFonts w:ascii="Arial" w:hAnsi="Arial" w:cs="Arial"/>
          <w:sz w:val="22"/>
          <w:szCs w:val="22"/>
        </w:rPr>
      </w:pPr>
      <w:r w:rsidRPr="00AA47FF">
        <w:rPr>
          <w:rFonts w:ascii="Arial" w:hAnsi="Arial" w:cs="Arial"/>
          <w:sz w:val="22"/>
          <w:szCs w:val="22"/>
        </w:rPr>
        <w:t>Z menor a −1.5: HIGH UW, −1.0</w:t>
      </w:r>
    </w:p>
    <w:p w14:paraId="0606CF7D" w14:textId="77777777" w:rsidR="00020931" w:rsidRPr="00AA47FF" w:rsidRDefault="00020931" w:rsidP="00020931">
      <w:pPr>
        <w:pStyle w:val="NormalWeb"/>
        <w:rPr>
          <w:rFonts w:ascii="Arial" w:hAnsi="Arial" w:cs="Arial"/>
          <w:sz w:val="22"/>
          <w:szCs w:val="22"/>
        </w:rPr>
      </w:pPr>
      <w:r w:rsidRPr="00AA47FF">
        <w:rPr>
          <w:rFonts w:ascii="Arial" w:hAnsi="Arial" w:cs="Arial"/>
          <w:sz w:val="22"/>
          <w:szCs w:val="22"/>
        </w:rPr>
        <w:t>El tilt absoluto final es: la tilt fraction, por el conviction multiplier, por el MAX_TILT específico del asset class al presupuesto de Tracking Error de referencia de 100 bps."</w:t>
      </w:r>
    </w:p>
    <w:p w14:paraId="4E52A8DB" w14:textId="77777777" w:rsidR="00020931" w:rsidRPr="00376134" w:rsidRDefault="00020931" w:rsidP="00376134">
      <w:pPr>
        <w:pStyle w:val="Ttulo2"/>
        <w:pBdr>
          <w:bottom w:val="single" w:sz="4" w:space="1" w:color="auto"/>
        </w:pBdr>
        <w:rPr>
          <w:rFonts w:ascii="Arial" w:hAnsi="Arial" w:cs="Arial"/>
          <w:b/>
          <w:bCs/>
          <w:sz w:val="22"/>
          <w:szCs w:val="22"/>
        </w:rPr>
      </w:pPr>
      <w:r w:rsidRPr="00376134">
        <w:rPr>
          <w:rFonts w:ascii="Arial" w:hAnsi="Arial" w:cs="Arial"/>
          <w:b/>
          <w:bCs/>
          <w:sz w:val="22"/>
          <w:szCs w:val="22"/>
        </w:rPr>
        <w:t>Absolute vs Relative (Slide 16)</w:t>
      </w:r>
    </w:p>
    <w:p w14:paraId="5424A71C" w14:textId="77777777" w:rsidR="00020931" w:rsidRPr="00AA47FF" w:rsidRDefault="00020931" w:rsidP="00020931">
      <w:pPr>
        <w:pStyle w:val="NormalWeb"/>
        <w:rPr>
          <w:rFonts w:ascii="Arial" w:hAnsi="Arial" w:cs="Arial"/>
          <w:sz w:val="22"/>
          <w:szCs w:val="22"/>
        </w:rPr>
      </w:pPr>
      <w:r w:rsidRPr="00AA47FF">
        <w:rPr>
          <w:rFonts w:ascii="Arial" w:hAnsi="Arial" w:cs="Arial"/>
          <w:sz w:val="22"/>
          <w:szCs w:val="22"/>
        </w:rPr>
        <w:t>"Y el último paso: la mezcla de dos vistas.</w:t>
      </w:r>
    </w:p>
    <w:p w14:paraId="1D2BB6F0" w14:textId="77777777" w:rsidR="00020931" w:rsidRPr="00AA47FF" w:rsidRDefault="00020931" w:rsidP="00074B73">
      <w:pPr>
        <w:pStyle w:val="NormalWeb"/>
        <w:numPr>
          <w:ilvl w:val="0"/>
          <w:numId w:val="6"/>
        </w:numPr>
        <w:rPr>
          <w:rFonts w:ascii="Arial" w:hAnsi="Arial" w:cs="Arial"/>
          <w:sz w:val="22"/>
          <w:szCs w:val="22"/>
        </w:rPr>
      </w:pPr>
      <w:r w:rsidRPr="00AA47FF">
        <w:rPr>
          <w:rFonts w:ascii="Arial" w:hAnsi="Arial" w:cs="Arial"/>
          <w:sz w:val="22"/>
          <w:szCs w:val="22"/>
        </w:rPr>
        <w:t xml:space="preserve">La </w:t>
      </w:r>
      <w:r w:rsidRPr="00AA47FF">
        <w:rPr>
          <w:rStyle w:val="Fuerte"/>
          <w:rFonts w:ascii="Arial" w:hAnsi="Arial" w:cs="Arial"/>
          <w:sz w:val="22"/>
          <w:szCs w:val="22"/>
        </w:rPr>
        <w:t>vista absoluta</w:t>
      </w:r>
      <w:r w:rsidRPr="00AA47FF">
        <w:rPr>
          <w:rFonts w:ascii="Arial" w:hAnsi="Arial" w:cs="Arial"/>
          <w:sz w:val="22"/>
          <w:szCs w:val="22"/>
        </w:rPr>
        <w:t xml:space="preserve"> responde: ¿este activo está atractivo contra su propia historia? Usa el composite directo.</w:t>
      </w:r>
    </w:p>
    <w:p w14:paraId="3115DFE4" w14:textId="77777777" w:rsidR="00020931" w:rsidRPr="00AA47FF" w:rsidRDefault="00020931" w:rsidP="00074B73">
      <w:pPr>
        <w:pStyle w:val="NormalWeb"/>
        <w:numPr>
          <w:ilvl w:val="0"/>
          <w:numId w:val="6"/>
        </w:numPr>
        <w:rPr>
          <w:rFonts w:ascii="Arial" w:hAnsi="Arial" w:cs="Arial"/>
          <w:sz w:val="22"/>
          <w:szCs w:val="22"/>
        </w:rPr>
      </w:pPr>
      <w:r w:rsidRPr="00AA47FF">
        <w:rPr>
          <w:rFonts w:ascii="Arial" w:hAnsi="Arial" w:cs="Arial"/>
          <w:sz w:val="22"/>
          <w:szCs w:val="22"/>
        </w:rPr>
        <w:t xml:space="preserve">La </w:t>
      </w:r>
      <w:r w:rsidRPr="00AA47FF">
        <w:rPr>
          <w:rStyle w:val="Fuerte"/>
          <w:rFonts w:ascii="Arial" w:hAnsi="Arial" w:cs="Arial"/>
          <w:sz w:val="22"/>
          <w:szCs w:val="22"/>
        </w:rPr>
        <w:t>vista relativa</w:t>
      </w:r>
      <w:r w:rsidRPr="00AA47FF">
        <w:rPr>
          <w:rFonts w:ascii="Arial" w:hAnsi="Arial" w:cs="Arial"/>
          <w:sz w:val="22"/>
          <w:szCs w:val="22"/>
        </w:rPr>
        <w:t xml:space="preserve"> responde: ¿este activo está atractivo contra los otros activos hoy? Toma el composite, le resta la media cross-sectional de los seis ACs y lo divide por la dispersión cross-sectional. Es básicamente un ranking cross-asset.</w:t>
      </w:r>
    </w:p>
    <w:p w14:paraId="2F3B0B57" w14:textId="250B8FAF" w:rsidR="00020931" w:rsidRDefault="00020931" w:rsidP="00020931">
      <w:pPr>
        <w:pStyle w:val="NormalWeb"/>
        <w:rPr>
          <w:rFonts w:ascii="Arial" w:hAnsi="Arial" w:cs="Arial"/>
          <w:sz w:val="22"/>
          <w:szCs w:val="22"/>
        </w:rPr>
      </w:pPr>
      <w:r w:rsidRPr="00AA47FF">
        <w:rPr>
          <w:rFonts w:ascii="Arial" w:hAnsi="Arial" w:cs="Arial"/>
          <w:sz w:val="22"/>
          <w:szCs w:val="22"/>
        </w:rPr>
        <w:t xml:space="preserve">El tilt final es 35% absoluto más 65% relativo. ¿Por qué pesar más la vista relativa? </w:t>
      </w:r>
      <w:r w:rsidR="00271145">
        <w:rPr>
          <w:rFonts w:ascii="Arial" w:hAnsi="Arial" w:cs="Arial"/>
          <w:sz w:val="22"/>
          <w:szCs w:val="22"/>
        </w:rPr>
        <w:t xml:space="preserve">Consideramos que </w:t>
      </w:r>
      <w:r w:rsidRPr="00AA47FF">
        <w:rPr>
          <w:rFonts w:ascii="Arial" w:hAnsi="Arial" w:cs="Arial"/>
          <w:sz w:val="22"/>
          <w:szCs w:val="22"/>
        </w:rPr>
        <w:t xml:space="preserve">las deviations tácticas vienen más naturalmente </w:t>
      </w:r>
      <w:r w:rsidR="00271145">
        <w:rPr>
          <w:rFonts w:ascii="Arial" w:hAnsi="Arial" w:cs="Arial"/>
          <w:sz w:val="22"/>
          <w:szCs w:val="22"/>
        </w:rPr>
        <w:t>del atractivo</w:t>
      </w:r>
      <w:r w:rsidRPr="00AA47FF">
        <w:rPr>
          <w:rFonts w:ascii="Arial" w:hAnsi="Arial" w:cs="Arial"/>
          <w:sz w:val="22"/>
          <w:szCs w:val="22"/>
        </w:rPr>
        <w:t xml:space="preserve"> cross-asset</w:t>
      </w:r>
      <w:r w:rsidR="00271145">
        <w:rPr>
          <w:rFonts w:ascii="Arial" w:hAnsi="Arial" w:cs="Arial"/>
          <w:sz w:val="22"/>
          <w:szCs w:val="22"/>
        </w:rPr>
        <w:t xml:space="preserve"> </w:t>
      </w:r>
      <w:r w:rsidRPr="00AA47FF">
        <w:rPr>
          <w:rFonts w:ascii="Arial" w:hAnsi="Arial" w:cs="Arial"/>
          <w:sz w:val="22"/>
          <w:szCs w:val="22"/>
        </w:rPr>
        <w:t xml:space="preserve">— qué activo prefiero sobre cuál — que de market timing absoluto. Esto está </w:t>
      </w:r>
      <w:r w:rsidR="00A1750C">
        <w:rPr>
          <w:rFonts w:ascii="Arial" w:hAnsi="Arial" w:cs="Arial"/>
          <w:sz w:val="22"/>
          <w:szCs w:val="22"/>
        </w:rPr>
        <w:t>respaldado por</w:t>
      </w:r>
      <w:r w:rsidRPr="00AA47FF">
        <w:rPr>
          <w:rFonts w:ascii="Arial" w:hAnsi="Arial" w:cs="Arial"/>
          <w:sz w:val="22"/>
          <w:szCs w:val="22"/>
        </w:rPr>
        <w:t xml:space="preserve"> Wang &amp; Kochard 2012, Asness et al. 2013."</w:t>
      </w:r>
    </w:p>
    <w:p w14:paraId="7D2374AC" w14:textId="50A1AC34" w:rsidR="00E52B87" w:rsidRPr="00376134" w:rsidRDefault="00E52B87" w:rsidP="00E52B87">
      <w:pPr>
        <w:pStyle w:val="Ttulo2"/>
        <w:pBdr>
          <w:bottom w:val="single" w:sz="4" w:space="1" w:color="auto"/>
        </w:pBdr>
        <w:rPr>
          <w:rFonts w:ascii="Arial" w:hAnsi="Arial" w:cs="Arial"/>
          <w:b/>
          <w:bCs/>
          <w:sz w:val="22"/>
          <w:szCs w:val="22"/>
        </w:rPr>
      </w:pPr>
      <w:r>
        <w:rPr>
          <w:rFonts w:ascii="Arial" w:hAnsi="Arial" w:cs="Arial"/>
          <w:b/>
          <w:bCs/>
          <w:sz w:val="22"/>
          <w:szCs w:val="22"/>
        </w:rPr>
        <w:t>Next Steps (Slide 17)</w:t>
      </w:r>
    </w:p>
    <w:p w14:paraId="6B47F986" w14:textId="7E09BB7F" w:rsidR="009F5A69" w:rsidRPr="009F5A69" w:rsidRDefault="00E52B87" w:rsidP="009F5A69">
      <w:pPr>
        <w:pStyle w:val="NormalWeb"/>
        <w:rPr>
          <w:rFonts w:ascii="Arial" w:hAnsi="Arial" w:cs="Arial"/>
          <w:sz w:val="22"/>
          <w:szCs w:val="22"/>
        </w:rPr>
      </w:pPr>
      <w:r w:rsidRPr="00E52B87">
        <w:rPr>
          <w:rFonts w:ascii="Arial" w:hAnsi="Arial" w:cs="Arial"/>
          <w:sz w:val="22"/>
          <w:szCs w:val="22"/>
        </w:rPr>
        <w:t>"Antes de pasar a los resultados, vale mencionar brevemente hacia dónde va el sistema en términos de desarrollo — porque esta es una primera entrega y hay mejoras concretas ya identificadas en tres frentes.</w:t>
      </w:r>
    </w:p>
    <w:p w14:paraId="433C8D2E" w14:textId="77777777" w:rsidR="009F5A69" w:rsidRPr="009F5A69" w:rsidRDefault="009F5A69" w:rsidP="00E52B87">
      <w:pPr>
        <w:pStyle w:val="NormalWeb"/>
        <w:numPr>
          <w:ilvl w:val="0"/>
          <w:numId w:val="10"/>
        </w:numPr>
        <w:rPr>
          <w:rFonts w:ascii="Arial" w:hAnsi="Arial" w:cs="Arial"/>
          <w:sz w:val="22"/>
          <w:szCs w:val="22"/>
        </w:rPr>
      </w:pPr>
      <w:r w:rsidRPr="00E52B87">
        <w:rPr>
          <w:rFonts w:ascii="Arial" w:hAnsi="Arial" w:cs="Arial"/>
          <w:b/>
          <w:bCs/>
          <w:sz w:val="22"/>
          <w:szCs w:val="22"/>
        </w:rPr>
        <w:t>Primero, backtesting.</w:t>
      </w:r>
      <w:r w:rsidRPr="009F5A69">
        <w:rPr>
          <w:rFonts w:ascii="Arial" w:hAnsi="Arial" w:cs="Arial"/>
          <w:sz w:val="22"/>
          <w:szCs w:val="22"/>
        </w:rPr>
        <w:t xml:space="preserve"> Todavía no hemos validado el sistema contra historia. Los próximos pasos incluyen calcular el Sharpe ratio del overlay de tilts, la tasa de acierto direccional, el máximo drawdown, y cómo se comporta el sistema en distintos regímenes — risk-on versus risk-off, inflación alta versus baja. También queremos validar si el blend 35/65 entre vista absoluta y relativa es el óptimo, comparándolo contra splits alternativos como 50/50 o 0/100. Y confirmar si los pesos iguales de 25% por pilar son los adecuados o si la historia sugiere algo distinto.</w:t>
      </w:r>
    </w:p>
    <w:p w14:paraId="0500EF29" w14:textId="77777777" w:rsidR="009F5A69" w:rsidRPr="009F5A69" w:rsidRDefault="009F5A69" w:rsidP="00E52B87">
      <w:pPr>
        <w:pStyle w:val="NormalWeb"/>
        <w:numPr>
          <w:ilvl w:val="0"/>
          <w:numId w:val="10"/>
        </w:numPr>
        <w:rPr>
          <w:rFonts w:ascii="Arial" w:hAnsi="Arial" w:cs="Arial"/>
          <w:sz w:val="22"/>
          <w:szCs w:val="22"/>
        </w:rPr>
      </w:pPr>
      <w:r w:rsidRPr="00E52B87">
        <w:rPr>
          <w:rFonts w:ascii="Arial" w:hAnsi="Arial" w:cs="Arial"/>
          <w:b/>
          <w:bCs/>
          <w:sz w:val="22"/>
          <w:szCs w:val="22"/>
        </w:rPr>
        <w:t>Segundo, más señales y asset classes. El</w:t>
      </w:r>
      <w:r w:rsidRPr="009F5A69">
        <w:rPr>
          <w:rFonts w:ascii="Arial" w:hAnsi="Arial" w:cs="Arial"/>
          <w:sz w:val="22"/>
          <w:szCs w:val="22"/>
        </w:rPr>
        <w:t xml:space="preserve"> universo actual es una base sólida pero intencionalmente conservadora para la primera entrega. Tenemos identificados candidatos concretos para incorporar: señales que capturen cambios de régimen más rápidamente, señales adicionales basadas en literatura académica reciente, y potencialmente nuevos asset classes que se puedan mapear al mismo framework de cuatro pilares.</w:t>
      </w:r>
    </w:p>
    <w:p w14:paraId="57007BBE" w14:textId="0FE3BC62" w:rsidR="009F5A69" w:rsidRDefault="009F5A69" w:rsidP="00E52B87">
      <w:pPr>
        <w:pStyle w:val="NormalWeb"/>
        <w:numPr>
          <w:ilvl w:val="0"/>
          <w:numId w:val="10"/>
        </w:numPr>
        <w:rPr>
          <w:rFonts w:ascii="Arial" w:hAnsi="Arial" w:cs="Arial"/>
          <w:sz w:val="22"/>
          <w:szCs w:val="22"/>
        </w:rPr>
      </w:pPr>
      <w:r w:rsidRPr="00E52B87">
        <w:rPr>
          <w:rFonts w:ascii="Arial" w:hAnsi="Arial" w:cs="Arial"/>
          <w:b/>
          <w:bCs/>
          <w:sz w:val="22"/>
          <w:szCs w:val="22"/>
        </w:rPr>
        <w:lastRenderedPageBreak/>
        <w:t>Tercero, robustez operacional.</w:t>
      </w:r>
      <w:r w:rsidRPr="009F5A69">
        <w:rPr>
          <w:rFonts w:ascii="Arial" w:hAnsi="Arial" w:cs="Arial"/>
          <w:sz w:val="22"/>
          <w:szCs w:val="22"/>
        </w:rPr>
        <w:t xml:space="preserve"> Dos mejoras en esta categoría. Una es desarrollar un clasificador de régimen VIX-MOVE que ajuste automáticamente los umbrales de convicción en entornos de alta volatilidad — hoy el sistema simplemente apaga todos los tilts en crisis, pero hay espacio para una respuesta más matizada. La otra es automatizar el proceso de actualización de datos para eliminar riesgo operacional — hoy hay pasos manuales que son fuente potencial de error.</w:t>
      </w:r>
    </w:p>
    <w:p w14:paraId="09DFD4B8" w14:textId="77777777" w:rsidR="009F5A69" w:rsidRDefault="009F5A69" w:rsidP="00020931">
      <w:pPr>
        <w:pStyle w:val="NormalWeb"/>
        <w:rPr>
          <w:rFonts w:ascii="Arial" w:hAnsi="Arial" w:cs="Arial"/>
          <w:sz w:val="22"/>
          <w:szCs w:val="22"/>
        </w:rPr>
      </w:pPr>
    </w:p>
    <w:p w14:paraId="21DE20C1" w14:textId="77777777" w:rsidR="009F5A69" w:rsidRPr="00AA47FF" w:rsidRDefault="009F5A69" w:rsidP="00020931">
      <w:pPr>
        <w:pStyle w:val="NormalWeb"/>
        <w:rPr>
          <w:rFonts w:ascii="Arial" w:hAnsi="Arial" w:cs="Arial"/>
          <w:sz w:val="22"/>
          <w:szCs w:val="22"/>
        </w:rPr>
      </w:pPr>
    </w:p>
    <w:p w14:paraId="072ED676" w14:textId="77777777" w:rsidR="00020931" w:rsidRPr="00AA47FF" w:rsidRDefault="00020931" w:rsidP="00020931">
      <w:pPr>
        <w:rPr>
          <w:rFonts w:ascii="Arial" w:hAnsi="Arial" w:cs="Arial"/>
          <w:sz w:val="22"/>
          <w:szCs w:val="22"/>
        </w:rPr>
      </w:pPr>
      <w:r w:rsidRPr="00AA47FF">
        <w:rPr>
          <w:rFonts w:ascii="Arial" w:hAnsi="Arial" w:cs="Arial"/>
          <w:sz w:val="22"/>
          <w:szCs w:val="22"/>
        </w:rPr>
        <w:pict w14:anchorId="4C748B9B">
          <v:rect id="_x0000_i1026" style="width:0;height:1.5pt" o:hralign="center" o:hrstd="t" o:hr="t" fillcolor="#a0a0a0" stroked="f"/>
        </w:pict>
      </w:r>
    </w:p>
    <w:p w14:paraId="2AE615C8" w14:textId="77777777" w:rsidR="00020931" w:rsidRPr="00AA47FF" w:rsidRDefault="00020931" w:rsidP="003E4C37">
      <w:pPr>
        <w:pStyle w:val="Ttulo2"/>
        <w:pBdr>
          <w:bottom w:val="single" w:sz="4" w:space="1" w:color="auto"/>
        </w:pBdr>
        <w:rPr>
          <w:rFonts w:ascii="Arial" w:hAnsi="Arial" w:cs="Arial"/>
          <w:sz w:val="22"/>
          <w:szCs w:val="22"/>
        </w:rPr>
      </w:pPr>
      <w:r w:rsidRPr="003E4C37">
        <w:rPr>
          <w:rFonts w:ascii="Arial" w:hAnsi="Arial" w:cs="Arial"/>
          <w:b/>
          <w:bCs/>
          <w:color w:val="EE0000"/>
          <w:sz w:val="22"/>
          <w:szCs w:val="22"/>
        </w:rPr>
        <w:t>Speech 2 — Primeros Resultados (Corrida del 20 de mayo 2026)</w:t>
      </w:r>
    </w:p>
    <w:p w14:paraId="57DE53E0" w14:textId="77777777" w:rsidR="00020931" w:rsidRPr="003F328E" w:rsidRDefault="00020931" w:rsidP="003F328E">
      <w:pPr>
        <w:pStyle w:val="Ttulo2"/>
        <w:pBdr>
          <w:bottom w:val="single" w:sz="4" w:space="1" w:color="auto"/>
        </w:pBdr>
        <w:rPr>
          <w:rFonts w:ascii="Arial" w:hAnsi="Arial" w:cs="Arial"/>
          <w:b/>
          <w:bCs/>
          <w:color w:val="auto"/>
          <w:sz w:val="24"/>
          <w:szCs w:val="24"/>
        </w:rPr>
      </w:pPr>
      <w:r w:rsidRPr="003F328E">
        <w:rPr>
          <w:rFonts w:ascii="Arial" w:hAnsi="Arial" w:cs="Arial"/>
          <w:b/>
          <w:bCs/>
          <w:color w:val="auto"/>
          <w:sz w:val="24"/>
          <w:szCs w:val="24"/>
        </w:rPr>
        <w:t>Apertura</w:t>
      </w:r>
    </w:p>
    <w:p w14:paraId="07449763" w14:textId="4CD7BDB8" w:rsidR="00020931" w:rsidRPr="00AA47FF" w:rsidRDefault="00020931" w:rsidP="00020931">
      <w:pPr>
        <w:pStyle w:val="NormalWeb"/>
        <w:rPr>
          <w:rFonts w:ascii="Arial" w:hAnsi="Arial" w:cs="Arial"/>
          <w:sz w:val="22"/>
          <w:szCs w:val="22"/>
        </w:rPr>
      </w:pPr>
      <w:r w:rsidRPr="00AA47FF">
        <w:rPr>
          <w:rFonts w:ascii="Arial" w:hAnsi="Arial" w:cs="Arial"/>
          <w:sz w:val="22"/>
          <w:szCs w:val="22"/>
        </w:rPr>
        <w:t>"Pasemos a los resultados. Lo que voy a mostrar viene de</w:t>
      </w:r>
      <w:r w:rsidR="0019671F">
        <w:rPr>
          <w:rFonts w:ascii="Arial" w:hAnsi="Arial" w:cs="Arial"/>
          <w:sz w:val="22"/>
          <w:szCs w:val="22"/>
        </w:rPr>
        <w:t xml:space="preserve"> </w:t>
      </w:r>
      <w:r w:rsidRPr="00AA47FF">
        <w:rPr>
          <w:rFonts w:ascii="Arial" w:hAnsi="Arial" w:cs="Arial"/>
          <w:sz w:val="22"/>
          <w:szCs w:val="22"/>
        </w:rPr>
        <w:t>la última corrida del sistema. Los datos están actualizados a</w:t>
      </w:r>
      <w:r w:rsidR="0019671F">
        <w:rPr>
          <w:rFonts w:ascii="Arial" w:hAnsi="Arial" w:cs="Arial"/>
          <w:sz w:val="22"/>
          <w:szCs w:val="22"/>
        </w:rPr>
        <w:t>l 20 de mayo</w:t>
      </w:r>
      <w:r w:rsidRPr="00AA47FF">
        <w:rPr>
          <w:rFonts w:ascii="Arial" w:hAnsi="Arial" w:cs="Arial"/>
          <w:sz w:val="22"/>
          <w:szCs w:val="22"/>
        </w:rPr>
        <w:t xml:space="preserve">. </w:t>
      </w:r>
      <w:r w:rsidRPr="0019671F">
        <w:rPr>
          <w:rFonts w:ascii="Arial" w:hAnsi="Arial" w:cs="Arial"/>
          <w:sz w:val="22"/>
          <w:szCs w:val="22"/>
          <w:highlight w:val="darkBlue"/>
        </w:rPr>
        <w:t xml:space="preserve">Recuerden que </w:t>
      </w:r>
      <w:commentRangeStart w:id="0"/>
      <w:r w:rsidRPr="0019671F">
        <w:rPr>
          <w:rFonts w:ascii="Arial" w:hAnsi="Arial" w:cs="Arial"/>
          <w:sz w:val="22"/>
          <w:szCs w:val="22"/>
          <w:highlight w:val="darkBlue"/>
        </w:rPr>
        <w:t xml:space="preserve">OAS </w:t>
      </w:r>
      <w:commentRangeEnd w:id="0"/>
      <w:r w:rsidR="0019671F" w:rsidRPr="0019671F">
        <w:rPr>
          <w:rStyle w:val="Refdecomentario"/>
          <w:rFonts w:ascii="Arial" w:hAnsi="Arial" w:cs="Arial"/>
          <w:sz w:val="22"/>
          <w:szCs w:val="22"/>
          <w:highlight w:val="darkBlue"/>
        </w:rPr>
        <w:commentReference w:id="0"/>
      </w:r>
      <w:r w:rsidRPr="0019671F">
        <w:rPr>
          <w:rFonts w:ascii="Arial" w:hAnsi="Arial" w:cs="Arial"/>
          <w:sz w:val="22"/>
          <w:szCs w:val="22"/>
          <w:highlight w:val="darkBlue"/>
        </w:rPr>
        <w:t>suele rezagarse unos 17 días por el ciclo de settlement, así que ahí leemos hasta principios de mayo.</w:t>
      </w:r>
    </w:p>
    <w:p w14:paraId="6D7070BA" w14:textId="77777777" w:rsidR="00020931" w:rsidRPr="00AA47FF" w:rsidRDefault="00020931" w:rsidP="00020931">
      <w:pPr>
        <w:pStyle w:val="NormalWeb"/>
        <w:rPr>
          <w:rFonts w:ascii="Arial" w:hAnsi="Arial" w:cs="Arial"/>
          <w:sz w:val="22"/>
          <w:szCs w:val="22"/>
        </w:rPr>
      </w:pPr>
      <w:r w:rsidRPr="00AA47FF">
        <w:rPr>
          <w:rFonts w:ascii="Arial" w:hAnsi="Arial" w:cs="Arial"/>
          <w:sz w:val="22"/>
          <w:szCs w:val="22"/>
        </w:rPr>
        <w:t xml:space="preserve">El veredicto de alto nivel: el sistema está </w:t>
      </w:r>
      <w:r w:rsidRPr="00AA47FF">
        <w:rPr>
          <w:rStyle w:val="Fuerte"/>
          <w:rFonts w:ascii="Arial" w:hAnsi="Arial" w:cs="Arial"/>
          <w:sz w:val="22"/>
          <w:szCs w:val="22"/>
        </w:rPr>
        <w:t>principalmente en NEUTRAL</w:t>
      </w:r>
      <w:r w:rsidRPr="00AA47FF">
        <w:rPr>
          <w:rFonts w:ascii="Arial" w:hAnsi="Arial" w:cs="Arial"/>
          <w:sz w:val="22"/>
          <w:szCs w:val="22"/>
        </w:rPr>
        <w:t>, con una sola convicción activa MEDIUM UW en Developed Markets ex-US, y dos tilts moderados positivos en Treasuries largos y EM Equity dentro del rango neutral pero generados por la vista cross-sectional. El total de magnitudes de tilt es 4.3% — un posicionamiento táctico moderado, no agresivo."</w:t>
      </w:r>
    </w:p>
    <w:p w14:paraId="0DA17F84" w14:textId="77777777" w:rsidR="00020931" w:rsidRPr="003F328E" w:rsidRDefault="00020931" w:rsidP="003F328E">
      <w:pPr>
        <w:pStyle w:val="Ttulo2"/>
        <w:pBdr>
          <w:bottom w:val="single" w:sz="4" w:space="1" w:color="auto"/>
        </w:pBdr>
        <w:rPr>
          <w:rFonts w:ascii="Arial" w:hAnsi="Arial" w:cs="Arial"/>
          <w:b/>
          <w:bCs/>
          <w:color w:val="auto"/>
          <w:sz w:val="24"/>
          <w:szCs w:val="24"/>
        </w:rPr>
      </w:pPr>
      <w:r w:rsidRPr="003F328E">
        <w:rPr>
          <w:rFonts w:ascii="Arial" w:hAnsi="Arial" w:cs="Arial"/>
          <w:b/>
          <w:bCs/>
          <w:color w:val="auto"/>
          <w:sz w:val="24"/>
          <w:szCs w:val="24"/>
        </w:rPr>
        <w:t>El Macro Environment</w:t>
      </w:r>
    </w:p>
    <w:p w14:paraId="23FBE858" w14:textId="77777777" w:rsidR="00403353" w:rsidRPr="00403353" w:rsidRDefault="00403353" w:rsidP="00403353">
      <w:pPr>
        <w:pStyle w:val="NormalWeb"/>
        <w:rPr>
          <w:rFonts w:ascii="Arial" w:hAnsi="Arial" w:cs="Arial"/>
          <w:sz w:val="22"/>
          <w:szCs w:val="22"/>
        </w:rPr>
      </w:pPr>
      <w:r w:rsidRPr="00403353">
        <w:rPr>
          <w:rFonts w:ascii="Arial" w:hAnsi="Arial" w:cs="Arial"/>
          <w:sz w:val="22"/>
          <w:szCs w:val="22"/>
        </w:rPr>
        <w:t>"Antes de ir activo por activo, vale la pena leer el ambiente macro porque condiciona todo lo demás.</w:t>
      </w:r>
    </w:p>
    <w:p w14:paraId="120D4AD8" w14:textId="77777777" w:rsidR="00403353" w:rsidRPr="00403353" w:rsidRDefault="00403353" w:rsidP="00403353">
      <w:pPr>
        <w:pStyle w:val="NormalWeb"/>
        <w:numPr>
          <w:ilvl w:val="0"/>
          <w:numId w:val="7"/>
        </w:numPr>
        <w:rPr>
          <w:rFonts w:ascii="Arial" w:hAnsi="Arial" w:cs="Arial"/>
          <w:sz w:val="22"/>
          <w:szCs w:val="22"/>
        </w:rPr>
      </w:pPr>
      <w:r w:rsidRPr="00403353">
        <w:rPr>
          <w:rFonts w:ascii="Arial" w:hAnsi="Arial" w:cs="Arial"/>
          <w:sz w:val="22"/>
          <w:szCs w:val="22"/>
        </w:rPr>
        <w:t xml:space="preserve">Por el lado de </w:t>
      </w:r>
      <w:r w:rsidRPr="00403353">
        <w:rPr>
          <w:rFonts w:ascii="Arial" w:hAnsi="Arial" w:cs="Arial"/>
          <w:b/>
          <w:bCs/>
          <w:sz w:val="22"/>
          <w:szCs w:val="22"/>
        </w:rPr>
        <w:t>crecimiento</w:t>
      </w:r>
      <w:r w:rsidRPr="00403353">
        <w:rPr>
          <w:rFonts w:ascii="Arial" w:hAnsi="Arial" w:cs="Arial"/>
          <w:sz w:val="22"/>
          <w:szCs w:val="22"/>
        </w:rPr>
        <w:t>, hay una divergencia clara. Estados Unidos viene sólido: el ISM manufacturero está en 52.7 y el de servicios en 53.6 — ambos por encima del umbral de 50 que separa expansión de contracción — y las sorpresas económicas son positivas, con el índice CESI en +45, lo que significa que los datos están llegando consistentemente por encima de las expectativas del consenso. Japón también destaca dentro de los mercados desarrollados con un PMI manufacturero en 55.1 — la lectura más fuerte de todo el universo que monitoreamos — aunque no tenemos posición directa en Japón en este sistema.</w:t>
      </w:r>
    </w:p>
    <w:p w14:paraId="22FCEFE7" w14:textId="77777777" w:rsidR="00403353" w:rsidRPr="00403353" w:rsidRDefault="00403353" w:rsidP="00403353">
      <w:pPr>
        <w:pStyle w:val="NormalWeb"/>
        <w:numPr>
          <w:ilvl w:val="0"/>
          <w:numId w:val="7"/>
        </w:numPr>
        <w:rPr>
          <w:rFonts w:ascii="Arial" w:hAnsi="Arial" w:cs="Arial"/>
          <w:sz w:val="22"/>
          <w:szCs w:val="22"/>
        </w:rPr>
      </w:pPr>
      <w:r w:rsidRPr="00403353">
        <w:rPr>
          <w:rFonts w:ascii="Arial" w:hAnsi="Arial" w:cs="Arial"/>
          <w:b/>
          <w:bCs/>
          <w:sz w:val="22"/>
          <w:szCs w:val="22"/>
        </w:rPr>
        <w:t>Europa</w:t>
      </w:r>
      <w:r w:rsidRPr="00403353">
        <w:rPr>
          <w:rFonts w:ascii="Arial" w:hAnsi="Arial" w:cs="Arial"/>
          <w:sz w:val="22"/>
          <w:szCs w:val="22"/>
        </w:rPr>
        <w:t xml:space="preserve"> muestra el patrón opuesto y es el deterioro más preocupante del cuadro macro. El PMI de servicios de la Eurozone está en 47.6 — en zona de contracción — y el índice de sorpresas económicas europeo está en −53.3, el más negativo del universo por amplio margen. No es un solo dato malo: es una confirmación consistente de que la economía europea está llegando sistemáticamente por debajo de las expectativas del consenso.</w:t>
      </w:r>
    </w:p>
    <w:p w14:paraId="5C8C2391" w14:textId="77777777" w:rsidR="00403353" w:rsidRPr="00403353" w:rsidRDefault="00403353" w:rsidP="00403353">
      <w:pPr>
        <w:pStyle w:val="NormalWeb"/>
        <w:numPr>
          <w:ilvl w:val="0"/>
          <w:numId w:val="7"/>
        </w:numPr>
        <w:rPr>
          <w:rFonts w:ascii="Arial" w:hAnsi="Arial" w:cs="Arial"/>
          <w:sz w:val="22"/>
          <w:szCs w:val="22"/>
        </w:rPr>
      </w:pPr>
      <w:r w:rsidRPr="00403353">
        <w:rPr>
          <w:rFonts w:ascii="Arial" w:hAnsi="Arial" w:cs="Arial"/>
          <w:b/>
          <w:bCs/>
          <w:sz w:val="22"/>
          <w:szCs w:val="22"/>
        </w:rPr>
        <w:t>Emergentes</w:t>
      </w:r>
      <w:r w:rsidRPr="00403353">
        <w:rPr>
          <w:rFonts w:ascii="Arial" w:hAnsi="Arial" w:cs="Arial"/>
          <w:sz w:val="22"/>
          <w:szCs w:val="22"/>
        </w:rPr>
        <w:t xml:space="preserve"> en cambio se ven bien. China con PMI manufacturero en 50.3 y servicios en 52.6 — expansión moderada — y sorpresas económicas positivas en +43. El bloque EM en conjunto tiene un CESI de +42, coherente con un ciclo emergente que sigue activo.</w:t>
      </w:r>
    </w:p>
    <w:p w14:paraId="073D69CA" w14:textId="77777777" w:rsidR="00403353" w:rsidRPr="00403353" w:rsidRDefault="00403353" w:rsidP="00403353">
      <w:pPr>
        <w:pStyle w:val="NormalWeb"/>
        <w:numPr>
          <w:ilvl w:val="0"/>
          <w:numId w:val="7"/>
        </w:numPr>
        <w:rPr>
          <w:rFonts w:ascii="Arial" w:hAnsi="Arial" w:cs="Arial"/>
          <w:sz w:val="22"/>
          <w:szCs w:val="22"/>
        </w:rPr>
      </w:pPr>
      <w:r w:rsidRPr="00403353">
        <w:rPr>
          <w:rFonts w:ascii="Arial" w:hAnsi="Arial" w:cs="Arial"/>
          <w:sz w:val="22"/>
          <w:szCs w:val="22"/>
        </w:rPr>
        <w:lastRenderedPageBreak/>
        <w:t xml:space="preserve">Por el lado </w:t>
      </w:r>
      <w:r w:rsidRPr="00403353">
        <w:rPr>
          <w:rFonts w:ascii="Arial" w:hAnsi="Arial" w:cs="Arial"/>
          <w:b/>
          <w:bCs/>
          <w:sz w:val="22"/>
          <w:szCs w:val="22"/>
        </w:rPr>
        <w:t>de inflación y tasas</w:t>
      </w:r>
      <w:r w:rsidRPr="00403353">
        <w:rPr>
          <w:rFonts w:ascii="Arial" w:hAnsi="Arial" w:cs="Arial"/>
          <w:sz w:val="22"/>
          <w:szCs w:val="22"/>
        </w:rPr>
        <w:t>, tres puntos. Primero, las expectativas de inflación de largo plazo siguen elevadas: el breakeven a 5 años está en 2.71% y a 10 años en 2.51% — ambos materialmente por encima del target de 2% de la Fed. El mercado no está creyendo que la inflación vuelva al target en el mediano plazo. Segundo, la Fed Funds está en 3.75% con un CPI de 2.75% — tasa real cercana a +1%, territorio restrictivo, que opera como freno estructural para activos de riesgo. Tercero, el Treasury a 10 años está en 4.59% y el de 2 años en 4.07% — niveles elevados en perspectiva histórica, lo que paradójicamente genera carry atractivo para quien compra duración hoy.</w:t>
      </w:r>
    </w:p>
    <w:p w14:paraId="5A102460" w14:textId="77777777" w:rsidR="00403353" w:rsidRPr="00403353" w:rsidRDefault="00403353" w:rsidP="00403353">
      <w:pPr>
        <w:pStyle w:val="NormalWeb"/>
        <w:numPr>
          <w:ilvl w:val="0"/>
          <w:numId w:val="7"/>
        </w:numPr>
        <w:rPr>
          <w:rFonts w:ascii="Arial" w:hAnsi="Arial" w:cs="Arial"/>
          <w:sz w:val="22"/>
          <w:szCs w:val="22"/>
        </w:rPr>
      </w:pPr>
      <w:r w:rsidRPr="00601806">
        <w:rPr>
          <w:rFonts w:ascii="Arial" w:hAnsi="Arial" w:cs="Arial"/>
          <w:b/>
          <w:bCs/>
          <w:sz w:val="22"/>
          <w:szCs w:val="22"/>
        </w:rPr>
        <w:t>Spreads de crédito</w:t>
      </w:r>
      <w:r w:rsidRPr="00403353">
        <w:rPr>
          <w:rFonts w:ascii="Arial" w:hAnsi="Arial" w:cs="Arial"/>
          <w:sz w:val="22"/>
          <w:szCs w:val="22"/>
        </w:rPr>
        <w:t xml:space="preserve"> en mínimos históricos. El spread de Investment Grade BBB está en apenas 95 puntos básicos, High Yield en 286 bps, y deuda emergente en 107 bps. Para tener referencia, el promedio histórico de High Yield ronda los 450 a 500 bps — hoy estamos casi 200 bps por debajo de esa media. El sistema interpreta esto como spreads en niveles extremadamente ajustados: muy poco upside disponible si el ciclo de crédito sigue bien, pero downside significativo ante cualquier deterioro.</w:t>
      </w:r>
    </w:p>
    <w:p w14:paraId="38506758" w14:textId="77777777" w:rsidR="00403353" w:rsidRPr="00403353" w:rsidRDefault="00403353" w:rsidP="00403353">
      <w:pPr>
        <w:pStyle w:val="NormalWeb"/>
        <w:numPr>
          <w:ilvl w:val="0"/>
          <w:numId w:val="7"/>
        </w:numPr>
        <w:rPr>
          <w:rFonts w:ascii="Arial" w:hAnsi="Arial" w:cs="Arial"/>
          <w:sz w:val="22"/>
          <w:szCs w:val="22"/>
        </w:rPr>
      </w:pPr>
      <w:r w:rsidRPr="00403353">
        <w:rPr>
          <w:rFonts w:ascii="Arial" w:hAnsi="Arial" w:cs="Arial"/>
          <w:sz w:val="22"/>
          <w:szCs w:val="22"/>
        </w:rPr>
        <w:t xml:space="preserve">La </w:t>
      </w:r>
      <w:r w:rsidRPr="00601806">
        <w:rPr>
          <w:rFonts w:ascii="Arial" w:hAnsi="Arial" w:cs="Arial"/>
          <w:b/>
          <w:bCs/>
          <w:sz w:val="22"/>
          <w:szCs w:val="22"/>
        </w:rPr>
        <w:t>valuación</w:t>
      </w:r>
      <w:r w:rsidRPr="00403353">
        <w:rPr>
          <w:rFonts w:ascii="Arial" w:hAnsi="Arial" w:cs="Arial"/>
          <w:sz w:val="22"/>
          <w:szCs w:val="22"/>
        </w:rPr>
        <w:t xml:space="preserve"> de acciones contra bonos está comprimida. El S&amp;P 500 cotiza a 22 veces ganancias. El bono del Tesoro americano indexado a inflación a 10 años rinde 2.10% — esa es la tasa libre de riesgo real que ofrece el gobierno americano, ya descontada la inflación. El exceso de retorno que ofrecen las acciones americanas por encima de esa tasa es apenas 1.35% — un colchón históricamente muy delgado. Para comparar: mercados emergentes ofrecen un premium de 3.41% y el índice global ACWI de 1.97%, lo que confirma que las acciones americanas son las más caras del universo en términos relativos a bonos. El PE de 22x no es una burbuja en términos absolutos, pero el margen de seguridad contra la tasa libre de riesgo real es mínimo.</w:t>
      </w:r>
    </w:p>
    <w:p w14:paraId="2F53076F" w14:textId="7F996718" w:rsidR="00403353" w:rsidRPr="00AA47FF" w:rsidRDefault="00403353" w:rsidP="00403353">
      <w:pPr>
        <w:pStyle w:val="NormalWeb"/>
        <w:rPr>
          <w:rFonts w:ascii="Arial" w:hAnsi="Arial" w:cs="Arial"/>
          <w:sz w:val="22"/>
          <w:szCs w:val="22"/>
        </w:rPr>
      </w:pPr>
      <w:r w:rsidRPr="00403353">
        <w:rPr>
          <w:rFonts w:ascii="Arial" w:hAnsi="Arial" w:cs="Arial"/>
          <w:sz w:val="22"/>
          <w:szCs w:val="22"/>
        </w:rPr>
        <w:t>En resumen: crecimiento divergente — Estados Unidos y emergentes sólidos, Europa en deterioro confirmado — política monetaria todavía restrictiva, expectativas de inflación por encima del target, crédito en mínimos históricos de spread, y acciones americanas con poco margen contra bonos. Es un ambiente donde el sistema no genera convicciones fuertes en la mayoría de los activos, con una excepción clara que vamos a ver ahora."</w:t>
      </w:r>
    </w:p>
    <w:p w14:paraId="3F361BD2" w14:textId="77777777" w:rsidR="00020931" w:rsidRPr="009F5A69" w:rsidRDefault="00020931" w:rsidP="009F5A69">
      <w:pPr>
        <w:pStyle w:val="Ttulo2"/>
        <w:pBdr>
          <w:bottom w:val="single" w:sz="4" w:space="1" w:color="auto"/>
        </w:pBdr>
        <w:rPr>
          <w:rFonts w:ascii="Arial" w:hAnsi="Arial" w:cs="Arial"/>
          <w:b/>
          <w:bCs/>
          <w:color w:val="auto"/>
          <w:sz w:val="24"/>
          <w:szCs w:val="24"/>
        </w:rPr>
      </w:pPr>
      <w:r w:rsidRPr="009F5A69">
        <w:rPr>
          <w:rFonts w:ascii="Arial" w:hAnsi="Arial" w:cs="Arial"/>
          <w:b/>
          <w:bCs/>
          <w:color w:val="auto"/>
          <w:sz w:val="24"/>
          <w:szCs w:val="24"/>
        </w:rPr>
        <w:t>Asset Class por Asset Class</w:t>
      </w:r>
    </w:p>
    <w:p w14:paraId="19D61E22" w14:textId="77777777" w:rsidR="00020931" w:rsidRPr="00AA47FF" w:rsidRDefault="00020931" w:rsidP="00020931">
      <w:pPr>
        <w:pStyle w:val="NormalWeb"/>
        <w:rPr>
          <w:rFonts w:ascii="Arial" w:hAnsi="Arial" w:cs="Arial"/>
          <w:sz w:val="22"/>
          <w:szCs w:val="22"/>
        </w:rPr>
      </w:pPr>
      <w:r w:rsidRPr="00AA47FF">
        <w:rPr>
          <w:rFonts w:ascii="Arial" w:hAnsi="Arial" w:cs="Arial"/>
          <w:sz w:val="22"/>
          <w:szCs w:val="22"/>
        </w:rPr>
        <w:t>"Vamos a las recomendaciones.</w:t>
      </w:r>
    </w:p>
    <w:p w14:paraId="464EC5D5" w14:textId="77777777" w:rsidR="00020931" w:rsidRPr="00AA47FF" w:rsidRDefault="00020931" w:rsidP="009F5A69">
      <w:pPr>
        <w:pStyle w:val="NormalWeb"/>
        <w:numPr>
          <w:ilvl w:val="0"/>
          <w:numId w:val="8"/>
        </w:numPr>
        <w:rPr>
          <w:rFonts w:ascii="Arial" w:hAnsi="Arial" w:cs="Arial"/>
          <w:sz w:val="22"/>
          <w:szCs w:val="22"/>
        </w:rPr>
      </w:pPr>
      <w:r w:rsidRPr="00AA47FF">
        <w:rPr>
          <w:rStyle w:val="Fuerte"/>
          <w:rFonts w:ascii="Arial" w:hAnsi="Arial" w:cs="Arial"/>
          <w:sz w:val="22"/>
          <w:szCs w:val="22"/>
        </w:rPr>
        <w:t>DM ex-US Equity — MEDIUM UW, −1.6%.</w:t>
      </w:r>
      <w:r w:rsidRPr="00AA47FF">
        <w:rPr>
          <w:rFonts w:ascii="Arial" w:hAnsi="Arial" w:cs="Arial"/>
          <w:sz w:val="22"/>
          <w:szCs w:val="22"/>
        </w:rPr>
        <w:t xml:space="preserve"> Esta es la única convicción activa del sistema. El composite es −0.78, dentro del rango medium underweight. Y se entiende perfectamente: el pilar F está en −1.98 — flag de fundamentos profundamente abajo del trend, manejado por el deterioro europeo que mencionamos. El pilar M está en −1.71 — flag de momentum negativo fuerte, EAFE ha quedado rezagada. Solo dos pilares concuerdan, así que el conviction multiplier es 0.5. Aún así, en la vista relativa el activo se ve muy mal contra peers — Z relative de −1.31 — y eso jala el tilt final a −1.6% en el portafolio de referencia. La narrativa es clara: Europa está mostrando datos económicos malos, los earnings revisions globales son positivos pero el momentum de precio en EAFE es débil. El sistema dice underweight.</w:t>
      </w:r>
    </w:p>
    <w:p w14:paraId="57086128" w14:textId="77777777" w:rsidR="00020931" w:rsidRPr="00AA47FF" w:rsidRDefault="00020931" w:rsidP="009F5A69">
      <w:pPr>
        <w:pStyle w:val="NormalWeb"/>
        <w:numPr>
          <w:ilvl w:val="0"/>
          <w:numId w:val="8"/>
        </w:numPr>
        <w:rPr>
          <w:rFonts w:ascii="Arial" w:hAnsi="Arial" w:cs="Arial"/>
          <w:sz w:val="22"/>
          <w:szCs w:val="22"/>
        </w:rPr>
      </w:pPr>
      <w:r w:rsidRPr="00AA47FF">
        <w:rPr>
          <w:rStyle w:val="Fuerte"/>
          <w:rFonts w:ascii="Arial" w:hAnsi="Arial" w:cs="Arial"/>
          <w:sz w:val="22"/>
          <w:szCs w:val="22"/>
        </w:rPr>
        <w:t>LT US Treasuries — NEUTRAL pero con tilt positivo de +1.0%.</w:t>
      </w:r>
      <w:r w:rsidRPr="00AA47FF">
        <w:rPr>
          <w:rFonts w:ascii="Arial" w:hAnsi="Arial" w:cs="Arial"/>
          <w:sz w:val="22"/>
          <w:szCs w:val="22"/>
        </w:rPr>
        <w:t xml:space="preserve"> El composite es +0.57, dentro de rango neutral por umbral, pero tres pilares concuerdan: valuación en +1.57 — yields altos en percentil histórico significan carry atractivo — momentum en +1.16 — los yields han venido cediendo recientemente, lo que es bullish para duración — y sentiment en +0.45 leve </w:t>
      </w:r>
      <w:r w:rsidRPr="00AA47FF">
        <w:rPr>
          <w:rFonts w:ascii="Arial" w:hAnsi="Arial" w:cs="Arial"/>
          <w:sz w:val="22"/>
          <w:szCs w:val="22"/>
        </w:rPr>
        <w:lastRenderedPageBreak/>
        <w:t>positivo. El único que va en contra es Fundamentals en −1.11, manejado por la economía estadounidense fuerte que normalmente subiría yields. La vista cross-sectional posiciona Treasuries muy bien — Z relative +1.32 — porque contra el resto de los activos del universo, Treasuries se ve atractivo. Resultado: tilt activo de +1.0% aunque la etiqueta diga neutral. La lectura económica: el sistema está diciendo que con yields altos y momentum favorable, vale la pena agregar duración táctica como hedge contra el deterioro internacional.</w:t>
      </w:r>
    </w:p>
    <w:p w14:paraId="77842122" w14:textId="77777777" w:rsidR="00020931" w:rsidRPr="00AA47FF" w:rsidRDefault="00020931" w:rsidP="009F5A69">
      <w:pPr>
        <w:pStyle w:val="NormalWeb"/>
        <w:numPr>
          <w:ilvl w:val="0"/>
          <w:numId w:val="8"/>
        </w:numPr>
        <w:rPr>
          <w:rFonts w:ascii="Arial" w:hAnsi="Arial" w:cs="Arial"/>
          <w:sz w:val="22"/>
          <w:szCs w:val="22"/>
        </w:rPr>
      </w:pPr>
      <w:r w:rsidRPr="00AA47FF">
        <w:rPr>
          <w:rStyle w:val="Fuerte"/>
          <w:rFonts w:ascii="Arial" w:hAnsi="Arial" w:cs="Arial"/>
          <w:sz w:val="22"/>
          <w:szCs w:val="22"/>
        </w:rPr>
        <w:t>Emerging Markets Equity — NEUTRAL con tilt positivo de +0.7%.</w:t>
      </w:r>
      <w:r w:rsidRPr="00AA47FF">
        <w:rPr>
          <w:rFonts w:ascii="Arial" w:hAnsi="Arial" w:cs="Arial"/>
          <w:sz w:val="22"/>
          <w:szCs w:val="22"/>
        </w:rPr>
        <w:t xml:space="preserve"> Composite +0.37, neutral por umbral, pero la vista cross-sectional lo posiciona bien — Z relative +0.93. ¿Qué está leyendo? Sentiment en +1.35, valuación en +0.88 — el PE score EM está en +1.44, comparativamente cheap, aunque hay que recordar la flag del ERP EM en −2.10. Los earnings revisions EM están en +1.44 también. El offset es momentum en −0.45 — el momentum de MSCI EM es leve pero positivo en isolation. Solo dos pilares concuerdan así que el conviction multiplier limita la posición. La narrativa: EM ofrece valoración relativa mejor y sentiment positivo en un contexto donde DM ex-US se ve débil — el sistema rota dentro de equity de DM hacia EM.</w:t>
      </w:r>
    </w:p>
    <w:p w14:paraId="22F7FAE2" w14:textId="77777777" w:rsidR="00020931" w:rsidRPr="00AA47FF" w:rsidRDefault="00020931" w:rsidP="009F5A69">
      <w:pPr>
        <w:pStyle w:val="NormalWeb"/>
        <w:numPr>
          <w:ilvl w:val="0"/>
          <w:numId w:val="8"/>
        </w:numPr>
        <w:rPr>
          <w:rFonts w:ascii="Arial" w:hAnsi="Arial" w:cs="Arial"/>
          <w:sz w:val="22"/>
          <w:szCs w:val="22"/>
        </w:rPr>
      </w:pPr>
      <w:r w:rsidRPr="00AA47FF">
        <w:rPr>
          <w:rStyle w:val="Fuerte"/>
          <w:rFonts w:ascii="Arial" w:hAnsi="Arial" w:cs="Arial"/>
          <w:sz w:val="22"/>
          <w:szCs w:val="22"/>
        </w:rPr>
        <w:t>LT US Corporate — NEUTRAL, sin tilt.</w:t>
      </w:r>
      <w:r w:rsidRPr="00AA47FF">
        <w:rPr>
          <w:rFonts w:ascii="Arial" w:hAnsi="Arial" w:cs="Arial"/>
          <w:sz w:val="22"/>
          <w:szCs w:val="22"/>
        </w:rPr>
        <w:t xml:space="preserve"> Composite −0.26, señales mixed: F y M ligeramente positivos, pero V en −1.62 manejado por los spreads en tights históricos. Solo dos pilares concuerdan, el conviction multiplier es 0.5, pero el composite está dentro de rango neutral. No hay convicción direccional clara — exactamente lo que esperás cuando hay tensión entre fundamentals decentes y valuación cara.</w:t>
      </w:r>
    </w:p>
    <w:p w14:paraId="1E606860" w14:textId="77777777" w:rsidR="00020931" w:rsidRPr="00AA47FF" w:rsidRDefault="00020931" w:rsidP="009F5A69">
      <w:pPr>
        <w:pStyle w:val="NormalWeb"/>
        <w:numPr>
          <w:ilvl w:val="0"/>
          <w:numId w:val="8"/>
        </w:numPr>
        <w:rPr>
          <w:rFonts w:ascii="Arial" w:hAnsi="Arial" w:cs="Arial"/>
          <w:sz w:val="22"/>
          <w:szCs w:val="22"/>
        </w:rPr>
      </w:pPr>
      <w:r w:rsidRPr="00AA47FF">
        <w:rPr>
          <w:rStyle w:val="Fuerte"/>
          <w:rFonts w:ascii="Arial" w:hAnsi="Arial" w:cs="Arial"/>
          <w:sz w:val="22"/>
          <w:szCs w:val="22"/>
        </w:rPr>
        <w:t>LT EM Fixed Income — NEUTRAL, sin tilt.</w:t>
      </w:r>
      <w:r w:rsidRPr="00AA47FF">
        <w:rPr>
          <w:rFonts w:ascii="Arial" w:hAnsi="Arial" w:cs="Arial"/>
          <w:sz w:val="22"/>
          <w:szCs w:val="22"/>
        </w:rPr>
        <w:t xml:space="preserve"> Composite −0.49 pero, importante, solo un pilar concuerda. El sistema dispara el guard rail: conviction multiplier cero, no se aplica tilt. La señal es bearish por valuación — V en −3.0, flag de single-pillar — pero no hay corroboración del resto. Esto es exactamente el caso de uso del multiplier: un solo pilar gritando 'caro' no es suficiente para tomar posición.</w:t>
      </w:r>
    </w:p>
    <w:p w14:paraId="7390EE28" w14:textId="77777777" w:rsidR="00020931" w:rsidRPr="00AA47FF" w:rsidRDefault="00020931" w:rsidP="009F5A69">
      <w:pPr>
        <w:pStyle w:val="NormalWeb"/>
        <w:numPr>
          <w:ilvl w:val="0"/>
          <w:numId w:val="8"/>
        </w:numPr>
        <w:rPr>
          <w:rFonts w:ascii="Arial" w:hAnsi="Arial" w:cs="Arial"/>
          <w:sz w:val="22"/>
          <w:szCs w:val="22"/>
        </w:rPr>
      </w:pPr>
      <w:r w:rsidRPr="00AA47FF">
        <w:rPr>
          <w:rStyle w:val="Fuerte"/>
          <w:rFonts w:ascii="Arial" w:hAnsi="Arial" w:cs="Arial"/>
          <w:sz w:val="22"/>
          <w:szCs w:val="22"/>
        </w:rPr>
        <w:t>US Equity Broad — NEUTRAL, sin tilt.</w:t>
      </w:r>
      <w:r w:rsidRPr="00AA47FF">
        <w:rPr>
          <w:rFonts w:ascii="Arial" w:hAnsi="Arial" w:cs="Arial"/>
          <w:sz w:val="22"/>
          <w:szCs w:val="22"/>
        </w:rPr>
        <w:t xml:space="preserve"> Composite −0.04, prácticamente cero, señales completamente mixed: F positivo, M y V negativos. No hay historia que contar. US Growth dentro de US Equity tiene un composite más positivo en +0.52, generado por momentum, pero al nivel del broad index el sistema no tiene convicción.</w:t>
      </w:r>
    </w:p>
    <w:p w14:paraId="1A0D7915" w14:textId="77777777" w:rsidR="00020931" w:rsidRPr="00AA47FF" w:rsidRDefault="00020931" w:rsidP="009F5A69">
      <w:pPr>
        <w:pStyle w:val="NormalWeb"/>
        <w:numPr>
          <w:ilvl w:val="0"/>
          <w:numId w:val="8"/>
        </w:numPr>
        <w:rPr>
          <w:rFonts w:ascii="Arial" w:hAnsi="Arial" w:cs="Arial"/>
          <w:sz w:val="22"/>
          <w:szCs w:val="22"/>
        </w:rPr>
      </w:pPr>
      <w:r w:rsidRPr="00AA47FF">
        <w:rPr>
          <w:rStyle w:val="Fuerte"/>
          <w:rFonts w:ascii="Arial" w:hAnsi="Arial" w:cs="Arial"/>
          <w:sz w:val="22"/>
          <w:szCs w:val="22"/>
        </w:rPr>
        <w:t>Money Market y Short-Term FI:</w:t>
      </w:r>
      <w:r w:rsidRPr="00AA47FF">
        <w:rPr>
          <w:rFonts w:ascii="Arial" w:hAnsi="Arial" w:cs="Arial"/>
          <w:sz w:val="22"/>
          <w:szCs w:val="22"/>
        </w:rPr>
        <w:t xml:space="preserve"> absorben la redistribución zero-sum. Si activamos OW en Treasuries y EM Equity, eso se financia bajándole peso al cash y al short-term — coherente con el mandato no-short."</w:t>
      </w:r>
    </w:p>
    <w:p w14:paraId="11EADA8C" w14:textId="77777777" w:rsidR="00020931" w:rsidRPr="00AA47FF" w:rsidRDefault="00020931" w:rsidP="00020931">
      <w:pPr>
        <w:pStyle w:val="Ttulo2"/>
        <w:rPr>
          <w:rFonts w:ascii="Arial" w:hAnsi="Arial" w:cs="Arial"/>
          <w:sz w:val="22"/>
          <w:szCs w:val="22"/>
        </w:rPr>
      </w:pPr>
      <w:r w:rsidRPr="00AA47FF">
        <w:rPr>
          <w:rFonts w:ascii="Arial" w:hAnsi="Arial" w:cs="Arial"/>
          <w:sz w:val="22"/>
          <w:szCs w:val="22"/>
        </w:rPr>
        <w:t>Síntesis Final</w:t>
      </w:r>
    </w:p>
    <w:p w14:paraId="79CEDE02" w14:textId="77777777" w:rsidR="00020931" w:rsidRPr="00AA47FF" w:rsidRDefault="00020931" w:rsidP="00020931">
      <w:pPr>
        <w:pStyle w:val="NormalWeb"/>
        <w:rPr>
          <w:rFonts w:ascii="Arial" w:hAnsi="Arial" w:cs="Arial"/>
          <w:sz w:val="22"/>
          <w:szCs w:val="22"/>
        </w:rPr>
      </w:pPr>
      <w:r w:rsidRPr="00AA47FF">
        <w:rPr>
          <w:rFonts w:ascii="Arial" w:hAnsi="Arial" w:cs="Arial"/>
          <w:sz w:val="22"/>
          <w:szCs w:val="22"/>
        </w:rPr>
        <w:t>"El mensaje táctico es defensivo selectivo:</w:t>
      </w:r>
    </w:p>
    <w:p w14:paraId="1027F8ED" w14:textId="77777777" w:rsidR="00020931" w:rsidRPr="00AA47FF" w:rsidRDefault="00020931" w:rsidP="009F5A69">
      <w:pPr>
        <w:pStyle w:val="NormalWeb"/>
        <w:numPr>
          <w:ilvl w:val="0"/>
          <w:numId w:val="9"/>
        </w:numPr>
        <w:rPr>
          <w:rFonts w:ascii="Arial" w:hAnsi="Arial" w:cs="Arial"/>
          <w:sz w:val="22"/>
          <w:szCs w:val="22"/>
        </w:rPr>
      </w:pPr>
      <w:r w:rsidRPr="009F5A69">
        <w:rPr>
          <w:rFonts w:ascii="Arial" w:hAnsi="Arial" w:cs="Arial"/>
          <w:b/>
          <w:bCs/>
          <w:sz w:val="22"/>
          <w:szCs w:val="22"/>
        </w:rPr>
        <w:t>Underweight Europa</w:t>
      </w:r>
      <w:r w:rsidRPr="00AA47FF">
        <w:rPr>
          <w:rFonts w:ascii="Arial" w:hAnsi="Arial" w:cs="Arial"/>
          <w:sz w:val="22"/>
          <w:szCs w:val="22"/>
        </w:rPr>
        <w:t xml:space="preserve"> porque los datos económicos están claros y el momentum confirma. Overweight modesto en duración estadounidense porque la valoración es atractiva y el momentum reciente es favorable. Overweight modesto en EM equity porque ofrece la mejor valoración relativa con sentiment positivo. Neutral en todo lo demás, principalmente porque las señales están mixed o porque el conviction filter — diseñado precisamente para esto — bloquea posiciones con corroboración débil.</w:t>
      </w:r>
    </w:p>
    <w:p w14:paraId="68855BDC" w14:textId="77777777" w:rsidR="00020931" w:rsidRPr="00AA47FF" w:rsidRDefault="00020931" w:rsidP="009F5A69">
      <w:pPr>
        <w:pStyle w:val="NormalWeb"/>
        <w:numPr>
          <w:ilvl w:val="0"/>
          <w:numId w:val="9"/>
        </w:numPr>
        <w:rPr>
          <w:rFonts w:ascii="Arial" w:hAnsi="Arial" w:cs="Arial"/>
          <w:sz w:val="22"/>
          <w:szCs w:val="22"/>
        </w:rPr>
      </w:pPr>
      <w:r w:rsidRPr="009F5A69">
        <w:rPr>
          <w:rFonts w:ascii="Arial" w:hAnsi="Arial" w:cs="Arial"/>
          <w:b/>
          <w:bCs/>
          <w:sz w:val="22"/>
          <w:szCs w:val="22"/>
        </w:rPr>
        <w:t>El total de tilts en magnitud es 4.3%</w:t>
      </w:r>
      <w:r w:rsidRPr="00AA47FF">
        <w:rPr>
          <w:rFonts w:ascii="Arial" w:hAnsi="Arial" w:cs="Arial"/>
          <w:sz w:val="22"/>
          <w:szCs w:val="22"/>
        </w:rPr>
        <w:t xml:space="preserve"> — un posicionamiento moderado, no agresivo. Y vale enfatizar que el sistema está funcionando como se diseñó: en un entorno donde el panorama macro es mixed — crecimiento US ok, Europa mal, EM ok, inflación elevada, política restrictiva, crédito caro, equity cara — el </w:t>
      </w:r>
      <w:r w:rsidRPr="00AA47FF">
        <w:rPr>
          <w:rFonts w:ascii="Arial" w:hAnsi="Arial" w:cs="Arial"/>
          <w:sz w:val="22"/>
          <w:szCs w:val="22"/>
        </w:rPr>
        <w:lastRenderedPageBreak/>
        <w:t>sistema no toma posiciones grandes. Es exactamente el comportamiento que queremos de un motor de TAA disciplinado en un régimen ambiguo.</w:t>
      </w:r>
    </w:p>
    <w:p w14:paraId="5F21F6DD" w14:textId="77777777" w:rsidR="00020931" w:rsidRPr="00AA47FF" w:rsidRDefault="00020931" w:rsidP="009F5A69">
      <w:pPr>
        <w:pStyle w:val="NormalWeb"/>
        <w:numPr>
          <w:ilvl w:val="0"/>
          <w:numId w:val="9"/>
        </w:numPr>
        <w:rPr>
          <w:rFonts w:ascii="Arial" w:hAnsi="Arial" w:cs="Arial"/>
          <w:sz w:val="22"/>
          <w:szCs w:val="22"/>
        </w:rPr>
      </w:pPr>
      <w:r w:rsidRPr="00AA47FF">
        <w:rPr>
          <w:rFonts w:ascii="Arial" w:hAnsi="Arial" w:cs="Arial"/>
          <w:sz w:val="22"/>
          <w:szCs w:val="22"/>
        </w:rPr>
        <w:t>Para la próxima entrega tenemos planeado: incorporar Shiller CAPE en valuación de US Equity, agregar la vista de los 4 portafolios específicos — IGCON, IGMOD, IGDIN, IGEQUS — y empezar a presentar el backtest histórico del sistema. Por ahora abro a preguntas."</w:t>
      </w:r>
    </w:p>
    <w:p w14:paraId="3508645D" w14:textId="77777777" w:rsidR="00020931" w:rsidRPr="00AA47FF" w:rsidRDefault="00020931" w:rsidP="00020931">
      <w:pPr>
        <w:rPr>
          <w:rFonts w:ascii="Arial" w:hAnsi="Arial" w:cs="Arial"/>
          <w:sz w:val="22"/>
          <w:szCs w:val="22"/>
        </w:rPr>
      </w:pPr>
      <w:r w:rsidRPr="00AA47FF">
        <w:rPr>
          <w:rFonts w:ascii="Arial" w:hAnsi="Arial" w:cs="Arial"/>
          <w:sz w:val="22"/>
          <w:szCs w:val="22"/>
        </w:rPr>
        <w:pict w14:anchorId="2E1C8789">
          <v:rect id="_x0000_i1027" style="width:0;height:1.5pt" o:hralign="center" o:hrstd="t" o:hr="t" fillcolor="#a0a0a0" stroked="f"/>
        </w:pict>
      </w:r>
    </w:p>
    <w:p w14:paraId="1DFF02BA" w14:textId="77777777" w:rsidR="00020931" w:rsidRPr="00AA47FF" w:rsidRDefault="00020931" w:rsidP="00020931">
      <w:pPr>
        <w:pStyle w:val="NormalWeb"/>
        <w:rPr>
          <w:rFonts w:ascii="Arial" w:hAnsi="Arial" w:cs="Arial"/>
          <w:sz w:val="22"/>
          <w:szCs w:val="22"/>
        </w:rPr>
      </w:pPr>
      <w:r w:rsidRPr="00AA47FF">
        <w:rPr>
          <w:rFonts w:ascii="Arial" w:hAnsi="Arial" w:cs="Arial"/>
          <w:sz w:val="22"/>
          <w:szCs w:val="22"/>
        </w:rPr>
        <w:t>Ese es el flujo completo. Algunas notas prácticas para ajustar antes de presentar:</w:t>
      </w:r>
    </w:p>
    <w:p w14:paraId="5B186339" w14:textId="77777777" w:rsidR="00020931" w:rsidRPr="00AA47FF" w:rsidRDefault="00020931" w:rsidP="00020931">
      <w:pPr>
        <w:pStyle w:val="NormalWeb"/>
        <w:rPr>
          <w:rFonts w:ascii="Arial" w:hAnsi="Arial" w:cs="Arial"/>
          <w:sz w:val="22"/>
          <w:szCs w:val="22"/>
        </w:rPr>
      </w:pPr>
      <w:r w:rsidRPr="00AA47FF">
        <w:rPr>
          <w:rFonts w:ascii="Arial" w:hAnsi="Arial" w:cs="Arial"/>
          <w:sz w:val="22"/>
          <w:szCs w:val="22"/>
        </w:rPr>
        <w:t>La parte metodológica está dimensionada para unos 8–10 minutos hablados; la de resultados unos 6–8. Si necesitas comprimir, los párrafos sobre los transforms (Slide 7) y la sección de US Corporate / LT EM FI / US Broad en resultados son los primeros candidatos a recortar porque son los activos sin posición — los puedes mencionar de pasada con "el resto quedó neutral porque las señales están mixed o el conviction filter bloqueó la posición". Si quieres lo opuesto — más detalle en algún bloque específico, por ejemplo más narrativa sobre Europa o sobre la estructura de breakevens — me dices y lo expando.</w:t>
      </w:r>
    </w:p>
    <w:p w14:paraId="276C2CF8" w14:textId="77777777" w:rsidR="00020931" w:rsidRPr="00AA47FF" w:rsidRDefault="00020931">
      <w:pPr>
        <w:rPr>
          <w:rFonts w:ascii="Arial" w:hAnsi="Arial" w:cs="Arial"/>
          <w:sz w:val="22"/>
          <w:szCs w:val="22"/>
        </w:rPr>
      </w:pPr>
    </w:p>
    <w:p w14:paraId="07BD849C" w14:textId="77777777" w:rsidR="00020931" w:rsidRPr="00AA47FF" w:rsidRDefault="00020931">
      <w:pPr>
        <w:rPr>
          <w:rFonts w:ascii="Arial" w:hAnsi="Arial" w:cs="Arial"/>
          <w:sz w:val="22"/>
          <w:szCs w:val="22"/>
        </w:rPr>
      </w:pPr>
    </w:p>
    <w:p w14:paraId="4EC7D00F" w14:textId="77777777" w:rsidR="00020931" w:rsidRPr="00AA47FF" w:rsidRDefault="00020931">
      <w:pPr>
        <w:rPr>
          <w:rFonts w:ascii="Arial" w:hAnsi="Arial" w:cs="Arial"/>
          <w:sz w:val="22"/>
          <w:szCs w:val="22"/>
        </w:rPr>
      </w:pPr>
    </w:p>
    <w:p w14:paraId="6EF46F23" w14:textId="0C951809" w:rsidR="006D54A5" w:rsidRPr="00AA47FF" w:rsidRDefault="001C4B95">
      <w:pPr>
        <w:rPr>
          <w:rFonts w:ascii="Arial" w:hAnsi="Arial" w:cs="Arial"/>
          <w:sz w:val="22"/>
          <w:szCs w:val="22"/>
        </w:rPr>
      </w:pPr>
      <w:r w:rsidRPr="00AA47FF">
        <w:rPr>
          <w:rFonts w:ascii="Arial" w:hAnsi="Arial" w:cs="Arial"/>
          <w:sz w:val="22"/>
          <w:szCs w:val="22"/>
        </w:rPr>
        <w:drawing>
          <wp:inline distT="0" distB="0" distL="0" distR="0" wp14:anchorId="052A6B66" wp14:editId="000C00A9">
            <wp:extent cx="5400040" cy="3514090"/>
            <wp:effectExtent l="0" t="0" r="0" b="0"/>
            <wp:docPr id="558849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49263" name=""/>
                    <pic:cNvPicPr/>
                  </pic:nvPicPr>
                  <pic:blipFill>
                    <a:blip r:embed="rId9"/>
                    <a:stretch>
                      <a:fillRect/>
                    </a:stretch>
                  </pic:blipFill>
                  <pic:spPr>
                    <a:xfrm>
                      <a:off x="0" y="0"/>
                      <a:ext cx="5400040" cy="3514090"/>
                    </a:xfrm>
                    <a:prstGeom prst="rect">
                      <a:avLst/>
                    </a:prstGeom>
                  </pic:spPr>
                </pic:pic>
              </a:graphicData>
            </a:graphic>
          </wp:inline>
        </w:drawing>
      </w:r>
    </w:p>
    <w:p w14:paraId="036DF4C1" w14:textId="77777777" w:rsidR="001C4B95" w:rsidRPr="00AA47FF" w:rsidRDefault="001C4B95">
      <w:pPr>
        <w:rPr>
          <w:rFonts w:ascii="Arial" w:hAnsi="Arial" w:cs="Arial"/>
          <w:sz w:val="22"/>
          <w:szCs w:val="22"/>
        </w:rPr>
      </w:pPr>
    </w:p>
    <w:p w14:paraId="0ED9861D" w14:textId="77777777" w:rsidR="001C4B95" w:rsidRPr="00AA47FF" w:rsidRDefault="001C4B95">
      <w:pPr>
        <w:rPr>
          <w:rFonts w:ascii="Arial" w:hAnsi="Arial" w:cs="Arial"/>
          <w:sz w:val="22"/>
          <w:szCs w:val="22"/>
        </w:rPr>
      </w:pPr>
    </w:p>
    <w:sectPr w:rsidR="001C4B95" w:rsidRPr="00AA47FF">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nior Alexis Julon Ventura" w:date="2026-05-27T17:05:00Z" w:initials="JJ">
    <w:p w14:paraId="0855429F" w14:textId="77777777" w:rsidR="0019671F" w:rsidRDefault="0019671F" w:rsidP="0019671F">
      <w:pPr>
        <w:pStyle w:val="Textocomentario"/>
      </w:pPr>
      <w:r>
        <w:rPr>
          <w:rStyle w:val="Refdecomentario"/>
        </w:rPr>
        <w:annotationRef/>
      </w:r>
      <w:r>
        <w:rPr>
          <w:i/>
          <w:iCs/>
        </w:rPr>
        <w:t>Los spreads de crédito — OAS — típicamente vienen con un rezago de unos 17 días hábiles en el feed de datos, así que ahí leemos hasta principios de mayo aproximadamente."</w:t>
      </w:r>
    </w:p>
    <w:p w14:paraId="49E98343" w14:textId="77777777" w:rsidR="0019671F" w:rsidRDefault="0019671F" w:rsidP="0019671F">
      <w:pPr>
        <w:pStyle w:val="Textocomentario"/>
      </w:pPr>
    </w:p>
    <w:p w14:paraId="45A7269F" w14:textId="77777777" w:rsidR="0019671F" w:rsidRDefault="0019671F" w:rsidP="0019671F">
      <w:pPr>
        <w:pStyle w:val="Textocomentario"/>
      </w:pPr>
      <w:r>
        <w:t>Así queda claro que es una limitación del dato, no una característica del mercado de bonos en sí.</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A726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33A45E" w16cex:dateUtc="2026-05-27T22: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A7269F" w16cid:durableId="1833A45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47F26"/>
    <w:multiLevelType w:val="hybridMultilevel"/>
    <w:tmpl w:val="4A088DCC"/>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A2E0029"/>
    <w:multiLevelType w:val="hybridMultilevel"/>
    <w:tmpl w:val="A8463342"/>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41B503B"/>
    <w:multiLevelType w:val="hybridMultilevel"/>
    <w:tmpl w:val="81A62454"/>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7D23A30"/>
    <w:multiLevelType w:val="hybridMultilevel"/>
    <w:tmpl w:val="FBBAB9F2"/>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A0E666C"/>
    <w:multiLevelType w:val="hybridMultilevel"/>
    <w:tmpl w:val="F9F82A60"/>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47333BAF"/>
    <w:multiLevelType w:val="hybridMultilevel"/>
    <w:tmpl w:val="A9C21A1E"/>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4AEA36FA"/>
    <w:multiLevelType w:val="hybridMultilevel"/>
    <w:tmpl w:val="90161340"/>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642C3E4D"/>
    <w:multiLevelType w:val="hybridMultilevel"/>
    <w:tmpl w:val="C58E8940"/>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6DEB31A8"/>
    <w:multiLevelType w:val="multilevel"/>
    <w:tmpl w:val="C9F2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AE3196"/>
    <w:multiLevelType w:val="hybridMultilevel"/>
    <w:tmpl w:val="0E9822A2"/>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405638548">
    <w:abstractNumId w:val="8"/>
  </w:num>
  <w:num w:numId="2" w16cid:durableId="264576837">
    <w:abstractNumId w:val="5"/>
  </w:num>
  <w:num w:numId="3" w16cid:durableId="2141142664">
    <w:abstractNumId w:val="3"/>
  </w:num>
  <w:num w:numId="4" w16cid:durableId="1889872948">
    <w:abstractNumId w:val="0"/>
  </w:num>
  <w:num w:numId="5" w16cid:durableId="1892961818">
    <w:abstractNumId w:val="9"/>
  </w:num>
  <w:num w:numId="6" w16cid:durableId="1893610103">
    <w:abstractNumId w:val="6"/>
  </w:num>
  <w:num w:numId="7" w16cid:durableId="712775470">
    <w:abstractNumId w:val="7"/>
  </w:num>
  <w:num w:numId="8" w16cid:durableId="1612663193">
    <w:abstractNumId w:val="2"/>
  </w:num>
  <w:num w:numId="9" w16cid:durableId="580219575">
    <w:abstractNumId w:val="4"/>
  </w:num>
  <w:num w:numId="10" w16cid:durableId="114389098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nior Alexis Julon Ventura">
    <w15:presenceInfo w15:providerId="AD" w15:userId="S::JA.JulonV@alum.up.edu.pe::76f3c9f8-230a-43f0-9490-0424f0eae8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03B"/>
    <w:rsid w:val="00020931"/>
    <w:rsid w:val="00074B73"/>
    <w:rsid w:val="00167CC6"/>
    <w:rsid w:val="0019671F"/>
    <w:rsid w:val="001A78D2"/>
    <w:rsid w:val="001C4B95"/>
    <w:rsid w:val="002623B7"/>
    <w:rsid w:val="00271145"/>
    <w:rsid w:val="002C3129"/>
    <w:rsid w:val="002C32A3"/>
    <w:rsid w:val="00376134"/>
    <w:rsid w:val="003765E4"/>
    <w:rsid w:val="00382619"/>
    <w:rsid w:val="00392E03"/>
    <w:rsid w:val="003E492B"/>
    <w:rsid w:val="003E4C37"/>
    <w:rsid w:val="003F328E"/>
    <w:rsid w:val="00403353"/>
    <w:rsid w:val="004E3218"/>
    <w:rsid w:val="00601806"/>
    <w:rsid w:val="00680BE7"/>
    <w:rsid w:val="006940D0"/>
    <w:rsid w:val="006D54A5"/>
    <w:rsid w:val="00793C67"/>
    <w:rsid w:val="007D3FD0"/>
    <w:rsid w:val="007D4CB2"/>
    <w:rsid w:val="009F5A69"/>
    <w:rsid w:val="00A1750C"/>
    <w:rsid w:val="00A54C51"/>
    <w:rsid w:val="00A94F7F"/>
    <w:rsid w:val="00AA47FF"/>
    <w:rsid w:val="00AE62E2"/>
    <w:rsid w:val="00B66D25"/>
    <w:rsid w:val="00B97EE9"/>
    <w:rsid w:val="00BF4E26"/>
    <w:rsid w:val="00D2412B"/>
    <w:rsid w:val="00DF4992"/>
    <w:rsid w:val="00E0772E"/>
    <w:rsid w:val="00E52B87"/>
    <w:rsid w:val="00E65D0B"/>
    <w:rsid w:val="00EE629E"/>
    <w:rsid w:val="00F0703B"/>
    <w:rsid w:val="00F402D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1F9E1"/>
  <w15:chartTrackingRefBased/>
  <w15:docId w15:val="{DF247278-0DE8-4767-B75F-170F6FED0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F070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070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070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070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070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070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070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070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070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703B"/>
    <w:rPr>
      <w:rFonts w:asciiTheme="majorHAnsi" w:eastAsiaTheme="majorEastAsia" w:hAnsiTheme="majorHAnsi" w:cstheme="majorBidi"/>
      <w:color w:val="0F4761" w:themeColor="accent1" w:themeShade="BF"/>
      <w:sz w:val="40"/>
      <w:szCs w:val="40"/>
      <w:lang w:val="en-US"/>
    </w:rPr>
  </w:style>
  <w:style w:type="character" w:customStyle="1" w:styleId="Ttulo2Car">
    <w:name w:val="Título 2 Car"/>
    <w:basedOn w:val="Fuentedeprrafopredeter"/>
    <w:link w:val="Ttulo2"/>
    <w:uiPriority w:val="9"/>
    <w:rsid w:val="00F0703B"/>
    <w:rPr>
      <w:rFonts w:asciiTheme="majorHAnsi" w:eastAsiaTheme="majorEastAsia" w:hAnsiTheme="majorHAnsi" w:cstheme="majorBidi"/>
      <w:color w:val="0F4761" w:themeColor="accent1" w:themeShade="BF"/>
      <w:sz w:val="32"/>
      <w:szCs w:val="32"/>
      <w:lang w:val="en-US"/>
    </w:rPr>
  </w:style>
  <w:style w:type="character" w:customStyle="1" w:styleId="Ttulo3Car">
    <w:name w:val="Título 3 Car"/>
    <w:basedOn w:val="Fuentedeprrafopredeter"/>
    <w:link w:val="Ttulo3"/>
    <w:uiPriority w:val="9"/>
    <w:semiHidden/>
    <w:rsid w:val="00F0703B"/>
    <w:rPr>
      <w:rFonts w:eastAsiaTheme="majorEastAsia" w:cstheme="majorBidi"/>
      <w:color w:val="0F4761" w:themeColor="accent1" w:themeShade="BF"/>
      <w:sz w:val="28"/>
      <w:szCs w:val="28"/>
      <w:lang w:val="en-US"/>
    </w:rPr>
  </w:style>
  <w:style w:type="character" w:customStyle="1" w:styleId="Ttulo4Car">
    <w:name w:val="Título 4 Car"/>
    <w:basedOn w:val="Fuentedeprrafopredeter"/>
    <w:link w:val="Ttulo4"/>
    <w:uiPriority w:val="9"/>
    <w:semiHidden/>
    <w:rsid w:val="00F0703B"/>
    <w:rPr>
      <w:rFonts w:eastAsiaTheme="majorEastAsia" w:cstheme="majorBidi"/>
      <w:i/>
      <w:iCs/>
      <w:color w:val="0F4761" w:themeColor="accent1" w:themeShade="BF"/>
      <w:lang w:val="en-US"/>
    </w:rPr>
  </w:style>
  <w:style w:type="character" w:customStyle="1" w:styleId="Ttulo5Car">
    <w:name w:val="Título 5 Car"/>
    <w:basedOn w:val="Fuentedeprrafopredeter"/>
    <w:link w:val="Ttulo5"/>
    <w:uiPriority w:val="9"/>
    <w:semiHidden/>
    <w:rsid w:val="00F0703B"/>
    <w:rPr>
      <w:rFonts w:eastAsiaTheme="majorEastAsia" w:cstheme="majorBidi"/>
      <w:color w:val="0F4761" w:themeColor="accent1" w:themeShade="BF"/>
      <w:lang w:val="en-US"/>
    </w:rPr>
  </w:style>
  <w:style w:type="character" w:customStyle="1" w:styleId="Ttulo6Car">
    <w:name w:val="Título 6 Car"/>
    <w:basedOn w:val="Fuentedeprrafopredeter"/>
    <w:link w:val="Ttulo6"/>
    <w:uiPriority w:val="9"/>
    <w:semiHidden/>
    <w:rsid w:val="00F0703B"/>
    <w:rPr>
      <w:rFonts w:eastAsiaTheme="majorEastAsia" w:cstheme="majorBidi"/>
      <w:i/>
      <w:iCs/>
      <w:color w:val="595959" w:themeColor="text1" w:themeTint="A6"/>
      <w:lang w:val="en-US"/>
    </w:rPr>
  </w:style>
  <w:style w:type="character" w:customStyle="1" w:styleId="Ttulo7Car">
    <w:name w:val="Título 7 Car"/>
    <w:basedOn w:val="Fuentedeprrafopredeter"/>
    <w:link w:val="Ttulo7"/>
    <w:uiPriority w:val="9"/>
    <w:semiHidden/>
    <w:rsid w:val="00F0703B"/>
    <w:rPr>
      <w:rFonts w:eastAsiaTheme="majorEastAsia" w:cstheme="majorBidi"/>
      <w:color w:val="595959" w:themeColor="text1" w:themeTint="A6"/>
      <w:lang w:val="en-US"/>
    </w:rPr>
  </w:style>
  <w:style w:type="character" w:customStyle="1" w:styleId="Ttulo8Car">
    <w:name w:val="Título 8 Car"/>
    <w:basedOn w:val="Fuentedeprrafopredeter"/>
    <w:link w:val="Ttulo8"/>
    <w:uiPriority w:val="9"/>
    <w:semiHidden/>
    <w:rsid w:val="00F0703B"/>
    <w:rPr>
      <w:rFonts w:eastAsiaTheme="majorEastAsia" w:cstheme="majorBidi"/>
      <w:i/>
      <w:iCs/>
      <w:color w:val="272727" w:themeColor="text1" w:themeTint="D8"/>
      <w:lang w:val="en-US"/>
    </w:rPr>
  </w:style>
  <w:style w:type="character" w:customStyle="1" w:styleId="Ttulo9Car">
    <w:name w:val="Título 9 Car"/>
    <w:basedOn w:val="Fuentedeprrafopredeter"/>
    <w:link w:val="Ttulo9"/>
    <w:uiPriority w:val="9"/>
    <w:semiHidden/>
    <w:rsid w:val="00F0703B"/>
    <w:rPr>
      <w:rFonts w:eastAsiaTheme="majorEastAsia" w:cstheme="majorBidi"/>
      <w:color w:val="272727" w:themeColor="text1" w:themeTint="D8"/>
      <w:lang w:val="en-US"/>
    </w:rPr>
  </w:style>
  <w:style w:type="paragraph" w:styleId="Ttulo">
    <w:name w:val="Title"/>
    <w:basedOn w:val="Normal"/>
    <w:next w:val="Normal"/>
    <w:link w:val="TtuloCar"/>
    <w:uiPriority w:val="10"/>
    <w:qFormat/>
    <w:rsid w:val="00F07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0703B"/>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ar"/>
    <w:uiPriority w:val="11"/>
    <w:qFormat/>
    <w:rsid w:val="00F070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0703B"/>
    <w:rPr>
      <w:rFonts w:eastAsiaTheme="majorEastAsia" w:cstheme="majorBidi"/>
      <w:color w:val="595959" w:themeColor="text1" w:themeTint="A6"/>
      <w:spacing w:val="15"/>
      <w:sz w:val="28"/>
      <w:szCs w:val="28"/>
      <w:lang w:val="en-US"/>
    </w:rPr>
  </w:style>
  <w:style w:type="paragraph" w:styleId="Cita">
    <w:name w:val="Quote"/>
    <w:basedOn w:val="Normal"/>
    <w:next w:val="Normal"/>
    <w:link w:val="CitaCar"/>
    <w:uiPriority w:val="29"/>
    <w:qFormat/>
    <w:rsid w:val="00F0703B"/>
    <w:pPr>
      <w:spacing w:before="160"/>
      <w:jc w:val="center"/>
    </w:pPr>
    <w:rPr>
      <w:i/>
      <w:iCs/>
      <w:color w:val="404040" w:themeColor="text1" w:themeTint="BF"/>
    </w:rPr>
  </w:style>
  <w:style w:type="character" w:customStyle="1" w:styleId="CitaCar">
    <w:name w:val="Cita Car"/>
    <w:basedOn w:val="Fuentedeprrafopredeter"/>
    <w:link w:val="Cita"/>
    <w:uiPriority w:val="29"/>
    <w:rsid w:val="00F0703B"/>
    <w:rPr>
      <w:i/>
      <w:iCs/>
      <w:color w:val="404040" w:themeColor="text1" w:themeTint="BF"/>
      <w:lang w:val="en-US"/>
    </w:rPr>
  </w:style>
  <w:style w:type="paragraph" w:styleId="Prrafodelista">
    <w:name w:val="List Paragraph"/>
    <w:basedOn w:val="Normal"/>
    <w:uiPriority w:val="34"/>
    <w:qFormat/>
    <w:rsid w:val="00F0703B"/>
    <w:pPr>
      <w:ind w:left="720"/>
      <w:contextualSpacing/>
    </w:pPr>
  </w:style>
  <w:style w:type="character" w:styleId="nfasisintenso">
    <w:name w:val="Intense Emphasis"/>
    <w:basedOn w:val="Fuentedeprrafopredeter"/>
    <w:uiPriority w:val="21"/>
    <w:qFormat/>
    <w:rsid w:val="00F0703B"/>
    <w:rPr>
      <w:i/>
      <w:iCs/>
      <w:color w:val="0F4761" w:themeColor="accent1" w:themeShade="BF"/>
    </w:rPr>
  </w:style>
  <w:style w:type="paragraph" w:styleId="Citadestacada">
    <w:name w:val="Intense Quote"/>
    <w:basedOn w:val="Normal"/>
    <w:next w:val="Normal"/>
    <w:link w:val="CitadestacadaCar"/>
    <w:uiPriority w:val="30"/>
    <w:qFormat/>
    <w:rsid w:val="00F07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0703B"/>
    <w:rPr>
      <w:i/>
      <w:iCs/>
      <w:color w:val="0F4761" w:themeColor="accent1" w:themeShade="BF"/>
      <w:lang w:val="en-US"/>
    </w:rPr>
  </w:style>
  <w:style w:type="character" w:styleId="Referenciaintensa">
    <w:name w:val="Intense Reference"/>
    <w:basedOn w:val="Fuentedeprrafopredeter"/>
    <w:uiPriority w:val="32"/>
    <w:qFormat/>
    <w:rsid w:val="00F0703B"/>
    <w:rPr>
      <w:b/>
      <w:bCs/>
      <w:smallCaps/>
      <w:color w:val="0F4761" w:themeColor="accent1" w:themeShade="BF"/>
      <w:spacing w:val="5"/>
    </w:rPr>
  </w:style>
  <w:style w:type="paragraph" w:styleId="NormalWeb">
    <w:name w:val="Normal (Web)"/>
    <w:basedOn w:val="Normal"/>
    <w:uiPriority w:val="99"/>
    <w:semiHidden/>
    <w:unhideWhenUsed/>
    <w:rsid w:val="00020931"/>
    <w:pPr>
      <w:spacing w:before="100" w:beforeAutospacing="1" w:after="100" w:afterAutospacing="1" w:line="240" w:lineRule="auto"/>
    </w:pPr>
    <w:rPr>
      <w:rFonts w:ascii="Times New Roman" w:eastAsia="Times New Roman" w:hAnsi="Times New Roman" w:cs="Times New Roman"/>
      <w:kern w:val="0"/>
      <w:lang w:val="es-PE" w:eastAsia="es-PE"/>
      <w14:ligatures w14:val="none"/>
    </w:rPr>
  </w:style>
  <w:style w:type="character" w:styleId="Fuerte">
    <w:name w:val="Strong"/>
    <w:basedOn w:val="Fuentedeprrafopredeter"/>
    <w:uiPriority w:val="22"/>
    <w:qFormat/>
    <w:rsid w:val="00020931"/>
    <w:rPr>
      <w:b/>
      <w:bCs/>
    </w:rPr>
  </w:style>
  <w:style w:type="character" w:styleId="CdigoHTML">
    <w:name w:val="HTML Code"/>
    <w:basedOn w:val="Fuentedeprrafopredeter"/>
    <w:uiPriority w:val="99"/>
    <w:semiHidden/>
    <w:unhideWhenUsed/>
    <w:rsid w:val="00020931"/>
    <w:rPr>
      <w:rFonts w:ascii="Courier New" w:eastAsia="Times New Roman" w:hAnsi="Courier New" w:cs="Courier New"/>
      <w:sz w:val="20"/>
      <w:szCs w:val="20"/>
    </w:rPr>
  </w:style>
  <w:style w:type="character" w:styleId="nfasis">
    <w:name w:val="Emphasis"/>
    <w:basedOn w:val="Fuentedeprrafopredeter"/>
    <w:uiPriority w:val="20"/>
    <w:qFormat/>
    <w:rsid w:val="00020931"/>
    <w:rPr>
      <w:i/>
      <w:iCs/>
    </w:rPr>
  </w:style>
  <w:style w:type="character" w:styleId="Refdecomentario">
    <w:name w:val="annotation reference"/>
    <w:basedOn w:val="Fuentedeprrafopredeter"/>
    <w:uiPriority w:val="99"/>
    <w:semiHidden/>
    <w:unhideWhenUsed/>
    <w:rsid w:val="0019671F"/>
    <w:rPr>
      <w:sz w:val="16"/>
      <w:szCs w:val="16"/>
    </w:rPr>
  </w:style>
  <w:style w:type="paragraph" w:styleId="Textocomentario">
    <w:name w:val="annotation text"/>
    <w:basedOn w:val="Normal"/>
    <w:link w:val="TextocomentarioCar"/>
    <w:uiPriority w:val="99"/>
    <w:unhideWhenUsed/>
    <w:rsid w:val="0019671F"/>
    <w:pPr>
      <w:spacing w:line="240" w:lineRule="auto"/>
    </w:pPr>
    <w:rPr>
      <w:sz w:val="20"/>
      <w:szCs w:val="20"/>
    </w:rPr>
  </w:style>
  <w:style w:type="character" w:customStyle="1" w:styleId="TextocomentarioCar">
    <w:name w:val="Texto comentario Car"/>
    <w:basedOn w:val="Fuentedeprrafopredeter"/>
    <w:link w:val="Textocomentario"/>
    <w:uiPriority w:val="99"/>
    <w:rsid w:val="0019671F"/>
    <w:rPr>
      <w:sz w:val="20"/>
      <w:szCs w:val="20"/>
      <w:lang w:val="en-US"/>
    </w:rPr>
  </w:style>
  <w:style w:type="paragraph" w:styleId="Asuntodelcomentario">
    <w:name w:val="annotation subject"/>
    <w:basedOn w:val="Textocomentario"/>
    <w:next w:val="Textocomentario"/>
    <w:link w:val="AsuntodelcomentarioCar"/>
    <w:uiPriority w:val="99"/>
    <w:semiHidden/>
    <w:unhideWhenUsed/>
    <w:rsid w:val="0019671F"/>
    <w:rPr>
      <w:b/>
      <w:bCs/>
    </w:rPr>
  </w:style>
  <w:style w:type="character" w:customStyle="1" w:styleId="AsuntodelcomentarioCar">
    <w:name w:val="Asunto del comentario Car"/>
    <w:basedOn w:val="TextocomentarioCar"/>
    <w:link w:val="Asuntodelcomentario"/>
    <w:uiPriority w:val="99"/>
    <w:semiHidden/>
    <w:rsid w:val="0019671F"/>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8</Pages>
  <Words>3369</Words>
  <Characters>18535</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Junior Alexis Julon Ventura</dc:creator>
  <cp:keywords/>
  <dc:description/>
  <cp:lastModifiedBy>Junior Alexis Julon Ventura</cp:lastModifiedBy>
  <cp:revision>37</cp:revision>
  <dcterms:created xsi:type="dcterms:W3CDTF">2026-05-27T20:48:00Z</dcterms:created>
  <dcterms:modified xsi:type="dcterms:W3CDTF">2026-05-27T22:26:00Z</dcterms:modified>
</cp:coreProperties>
</file>