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57E5" w14:textId="36E74DAA" w:rsidR="0097553C" w:rsidRPr="00102A20" w:rsidRDefault="0097553C" w:rsidP="00F24F3F">
      <w:pPr>
        <w:spacing w:line="240" w:lineRule="auto"/>
        <w:ind w:firstLine="708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102A20">
        <w:rPr>
          <w:rFonts w:ascii="Arial" w:hAnsi="Arial" w:cs="Arial"/>
          <w:b/>
          <w:bCs/>
          <w:sz w:val="22"/>
          <w:szCs w:val="22"/>
          <w:lang w:val="es-PE"/>
        </w:rPr>
        <w:t xml:space="preserve">TAA Dashboard - </w:t>
      </w:r>
      <w:proofErr w:type="spellStart"/>
      <w:r w:rsidRPr="00102A20">
        <w:rPr>
          <w:rFonts w:ascii="Arial" w:hAnsi="Arial" w:cs="Arial"/>
          <w:b/>
          <w:bCs/>
          <w:sz w:val="22"/>
          <w:szCs w:val="22"/>
          <w:lang w:val="es-PE"/>
        </w:rPr>
        <w:t>Guidelines</w:t>
      </w:r>
      <w:proofErr w:type="spellEnd"/>
    </w:p>
    <w:p w14:paraId="712AC324" w14:textId="349DBC87" w:rsidR="00D326D2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Necesito generar un dashboard de seguimiento de variables que me permitan hacer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Tactical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Asset Allocation a mis portafolios (RF, RV, Money Market).</w:t>
      </w:r>
    </w:p>
    <w:p w14:paraId="011C36FD" w14:textId="7815DC8F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Para ello, tengo 4 variables principales que me permitirá dar seguimiento al mercado y con ello generar ideas de inversión táctica. </w:t>
      </w:r>
      <w:r w:rsidRPr="00102A20">
        <w:rPr>
          <w:rFonts w:ascii="Arial" w:hAnsi="Arial" w:cs="Arial"/>
          <w:sz w:val="22"/>
          <w:szCs w:val="22"/>
        </w:rPr>
        <w:t xml:space="preserve">Hasta </w:t>
      </w:r>
      <w:proofErr w:type="spellStart"/>
      <w:r w:rsidRPr="00102A20">
        <w:rPr>
          <w:rFonts w:ascii="Arial" w:hAnsi="Arial" w:cs="Arial"/>
          <w:sz w:val="22"/>
          <w:szCs w:val="22"/>
        </w:rPr>
        <w:t>ahora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02A20">
        <w:rPr>
          <w:rFonts w:ascii="Arial" w:hAnsi="Arial" w:cs="Arial"/>
          <w:sz w:val="22"/>
          <w:szCs w:val="22"/>
        </w:rPr>
        <w:t>hemos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</w:rPr>
        <w:t>definido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102A20">
        <w:rPr>
          <w:rFonts w:ascii="Arial" w:hAnsi="Arial" w:cs="Arial"/>
          <w:sz w:val="22"/>
          <w:szCs w:val="22"/>
        </w:rPr>
        <w:t>nivel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102A20">
        <w:rPr>
          <w:rFonts w:ascii="Arial" w:hAnsi="Arial" w:cs="Arial"/>
          <w:sz w:val="22"/>
          <w:szCs w:val="22"/>
        </w:rPr>
        <w:t>convicción</w:t>
      </w:r>
      <w:proofErr w:type="spellEnd"/>
      <w:r w:rsidRPr="00102A20">
        <w:rPr>
          <w:rFonts w:ascii="Arial" w:hAnsi="Arial" w:cs="Arial"/>
          <w:sz w:val="22"/>
          <w:szCs w:val="22"/>
        </w:rPr>
        <w:t>:</w:t>
      </w:r>
    </w:p>
    <w:p w14:paraId="1F7C2A29" w14:textId="2311197E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Low Conviction</w:t>
      </w:r>
    </w:p>
    <w:p w14:paraId="766695B6" w14:textId="75AED8EC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Medium Conviction</w:t>
      </w:r>
    </w:p>
    <w:p w14:paraId="6579EE77" w14:textId="7C7640FF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High Conviction</w:t>
      </w:r>
    </w:p>
    <w:p w14:paraId="34192FE6" w14:textId="40D430C3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Las 4 variable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sque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tenemos a la fecha son los siguientes.</w:t>
      </w:r>
    </w:p>
    <w:p w14:paraId="14C0AEEC" w14:textId="65A3CC96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102A20">
        <w:rPr>
          <w:rFonts w:ascii="Arial" w:hAnsi="Arial" w:cs="Arial"/>
          <w:sz w:val="22"/>
          <w:szCs w:val="22"/>
        </w:rPr>
        <w:t>Fundamentos</w:t>
      </w:r>
      <w:proofErr w:type="spellEnd"/>
    </w:p>
    <w:p w14:paraId="3A2BB066" w14:textId="5842636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Macro</w:t>
      </w:r>
    </w:p>
    <w:p w14:paraId="291A66D5" w14:textId="2F80950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Corporate</w:t>
      </w:r>
    </w:p>
    <w:p w14:paraId="29BD0394" w14:textId="33E47609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Momentum &amp; Sentiment</w:t>
      </w:r>
    </w:p>
    <w:p w14:paraId="10EEC263" w14:textId="78682B71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RSI</w:t>
      </w:r>
    </w:p>
    <w:p w14:paraId="6B94B565" w14:textId="0A2E6CFF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Risk Appetite I</w:t>
      </w:r>
      <w:r w:rsidR="00E60DDA" w:rsidRPr="00102A20">
        <w:rPr>
          <w:rFonts w:ascii="Arial" w:hAnsi="Arial" w:cs="Arial"/>
          <w:sz w:val="22"/>
          <w:szCs w:val="22"/>
        </w:rPr>
        <w:t>ndices (Risk on, Risk off)</w:t>
      </w:r>
    </w:p>
    <w:p w14:paraId="087EA76B" w14:textId="4E3D1E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Positioning: Liquidity and Flows</w:t>
      </w:r>
    </w:p>
    <w:p w14:paraId="74355F8C" w14:textId="363199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Valuation:</w:t>
      </w:r>
    </w:p>
    <w:p w14:paraId="35082B9F" w14:textId="2A55F5B9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PE</w:t>
      </w:r>
    </w:p>
    <w:p w14:paraId="77D7DD42" w14:textId="22DF915E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OAS</w:t>
      </w:r>
    </w:p>
    <w:p w14:paraId="0F53C6E2" w14:textId="0E7CEF88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CDS: La idea es descomponer el riesgo idiosincrático de la empresa de la tasa base</w:t>
      </w:r>
    </w:p>
    <w:p w14:paraId="67EF4D49" w14:textId="79BCCC12" w:rsidR="00E621FB" w:rsidRPr="00102A20" w:rsidRDefault="006E4C59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Primero, necesito que investigues si estas variables son las correctas a considerar según literatura o buenas prácticas. Luego, dentro de cada variable, debes sugerirme los índices que debo descargar y mencionarme las fuentes (links) para encontrarlos.</w:t>
      </w:r>
    </w:p>
    <w:p w14:paraId="68EC534C" w14:textId="4B43FB9B" w:rsidR="000F4010" w:rsidRPr="00102A20" w:rsidRDefault="000F4010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Debes considerar los siguientes asset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classes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dentro de los cuales necesito generar los views tácticos:</w:t>
      </w:r>
    </w:p>
    <w:p w14:paraId="6130AAD4" w14:textId="334EBED3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Fixed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Income</w:t>
      </w:r>
      <w:proofErr w:type="spellEnd"/>
    </w:p>
    <w:p w14:paraId="0BB5F5C3" w14:textId="49237956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EM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Corporate</w:t>
      </w:r>
      <w:proofErr w:type="spellEnd"/>
    </w:p>
    <w:p w14:paraId="2C1F04DA" w14:textId="49A419C5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US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Corporate</w:t>
      </w:r>
      <w:proofErr w:type="spellEnd"/>
    </w:p>
    <w:p w14:paraId="62943D97" w14:textId="12A37794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US Treasury</w:t>
      </w:r>
    </w:p>
    <w:p w14:paraId="1ECB8D6B" w14:textId="50DF0B9D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Equity</w:t>
      </w:r>
    </w:p>
    <w:p w14:paraId="3EEDE19A" w14:textId="5E45E180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United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States</w:t>
      </w:r>
    </w:p>
    <w:p w14:paraId="36C13469" w14:textId="25D8F3D7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Developed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Markets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(ex US)</w:t>
      </w:r>
    </w:p>
    <w:p w14:paraId="564AC1D5" w14:textId="5ED9B3EC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Emerging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Markets</w:t>
      </w:r>
      <w:proofErr w:type="spellEnd"/>
    </w:p>
    <w:p w14:paraId="7DAF8F21" w14:textId="1120FC2F" w:rsidR="00C24966" w:rsidRPr="00102A20" w:rsidRDefault="00EA054B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br w:type="column"/>
      </w:r>
      <w:r w:rsidR="00C24966" w:rsidRPr="00102A20">
        <w:rPr>
          <w:rFonts w:ascii="Arial" w:hAnsi="Arial" w:cs="Arial"/>
          <w:b/>
          <w:bCs/>
          <w:sz w:val="22"/>
          <w:szCs w:val="22"/>
        </w:rPr>
        <w:lastRenderedPageBreak/>
        <w:t xml:space="preserve">From Conviction Levels to </w:t>
      </w:r>
      <w:r w:rsidR="002432FB" w:rsidRPr="00102A20">
        <w:rPr>
          <w:rFonts w:ascii="Arial" w:hAnsi="Arial" w:cs="Arial"/>
          <w:b/>
          <w:bCs/>
          <w:sz w:val="22"/>
          <w:szCs w:val="22"/>
        </w:rPr>
        <w:t>OW/UW</w:t>
      </w:r>
    </w:p>
    <w:tbl>
      <w:tblPr>
        <w:tblStyle w:val="Rimac1"/>
        <w:tblW w:w="9351" w:type="dxa"/>
        <w:tblLook w:val="04A0" w:firstRow="1" w:lastRow="0" w:firstColumn="1" w:lastColumn="0" w:noHBand="0" w:noVBand="1"/>
      </w:tblPr>
      <w:tblGrid>
        <w:gridCol w:w="2808"/>
        <w:gridCol w:w="2086"/>
        <w:gridCol w:w="2384"/>
        <w:gridCol w:w="2073"/>
      </w:tblGrid>
      <w:tr w:rsidR="00137F20" w:rsidRPr="00102A20" w14:paraId="36FADE97" w14:textId="5E6FEDF0" w:rsidTr="0000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tcW w:w="2808" w:type="dxa"/>
          </w:tcPr>
          <w:p w14:paraId="3F95A4B7" w14:textId="0B89F02A" w:rsidR="00137F20" w:rsidRPr="00102A20" w:rsidRDefault="00137F20" w:rsidP="00251DFA">
            <w:pPr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Conviction Level</w:t>
            </w:r>
          </w:p>
        </w:tc>
        <w:tc>
          <w:tcPr>
            <w:tcW w:w="2086" w:type="dxa"/>
          </w:tcPr>
          <w:p w14:paraId="3EEF1C0F" w14:textId="216E131E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Signal</w:t>
            </w:r>
          </w:p>
        </w:tc>
        <w:tc>
          <w:tcPr>
            <w:tcW w:w="2384" w:type="dxa"/>
          </w:tcPr>
          <w:p w14:paraId="6ADCE2EF" w14:textId="3DF7DFAB" w:rsidR="00137F20" w:rsidRPr="00102A20" w:rsidRDefault="001114BF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 xml:space="preserve">Active Weight (vs </w:t>
            </w:r>
            <w:proofErr w:type="spellStart"/>
            <w:r w:rsidRPr="00102A20">
              <w:rPr>
                <w:rFonts w:cs="Arial"/>
                <w:b w:val="0"/>
                <w:bCs/>
                <w:szCs w:val="22"/>
              </w:rPr>
              <w:t>Bmk</w:t>
            </w:r>
            <w:proofErr w:type="spellEnd"/>
            <w:r w:rsidRPr="00102A20">
              <w:rPr>
                <w:rFonts w:cs="Arial"/>
                <w:b w:val="0"/>
                <w:bCs/>
                <w:szCs w:val="22"/>
              </w:rPr>
              <w:t>)</w:t>
            </w:r>
          </w:p>
        </w:tc>
        <w:tc>
          <w:tcPr>
            <w:tcW w:w="2073" w:type="dxa"/>
          </w:tcPr>
          <w:p w14:paraId="0707FAD0" w14:textId="27819972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Z-Score</w:t>
            </w:r>
          </w:p>
        </w:tc>
      </w:tr>
      <w:tr w:rsidR="008227B7" w:rsidRPr="00102A20" w14:paraId="3CB8FA0D" w14:textId="42B57328" w:rsidTr="00005F12">
        <w:trPr>
          <w:trHeight w:val="268"/>
        </w:trPr>
        <w:tc>
          <w:tcPr>
            <w:tcW w:w="2808" w:type="dxa"/>
          </w:tcPr>
          <w:p w14:paraId="4D6527E9" w14:textId="6EC6E06C" w:rsidR="008227B7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High Conviction</w:t>
            </w:r>
          </w:p>
        </w:tc>
        <w:tc>
          <w:tcPr>
            <w:tcW w:w="2086" w:type="dxa"/>
          </w:tcPr>
          <w:p w14:paraId="1822576A" w14:textId="50072A7B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Strong OW/UW</w:t>
            </w:r>
          </w:p>
        </w:tc>
        <w:tc>
          <w:tcPr>
            <w:tcW w:w="2384" w:type="dxa"/>
          </w:tcPr>
          <w:p w14:paraId="1FD11E1F" w14:textId="42398565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±4.0% - ±8.0%</w:t>
            </w:r>
          </w:p>
        </w:tc>
        <w:tc>
          <w:tcPr>
            <w:tcW w:w="2073" w:type="dxa"/>
          </w:tcPr>
          <w:p w14:paraId="460FA211" w14:textId="2AFD8832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</w:t>
            </w:r>
            <w:r w:rsidR="004A0AE6" w:rsidRPr="00102A20">
              <w:rPr>
                <w:rFonts w:cs="Arial"/>
                <w:szCs w:val="22"/>
              </w:rPr>
              <w:t xml:space="preserve"> ≥ </w:t>
            </w:r>
            <w:r w:rsidR="002037DF" w:rsidRPr="00102A20">
              <w:rPr>
                <w:rFonts w:cs="Arial"/>
                <w:szCs w:val="22"/>
              </w:rPr>
              <w:t>1.5</w:t>
            </w:r>
          </w:p>
        </w:tc>
      </w:tr>
      <w:tr w:rsidR="00137F20" w:rsidRPr="00102A20" w14:paraId="622373D1" w14:textId="2F05D7C2" w:rsidTr="00005F12">
        <w:trPr>
          <w:trHeight w:val="268"/>
        </w:trPr>
        <w:tc>
          <w:tcPr>
            <w:tcW w:w="2808" w:type="dxa"/>
          </w:tcPr>
          <w:p w14:paraId="1F5D877C" w14:textId="77777777" w:rsidR="00137F20" w:rsidRPr="00102A20" w:rsidRDefault="00137F20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Medium Conviction</w:t>
            </w:r>
          </w:p>
        </w:tc>
        <w:tc>
          <w:tcPr>
            <w:tcW w:w="2086" w:type="dxa"/>
          </w:tcPr>
          <w:p w14:paraId="32502103" w14:textId="20D955B0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Moderate OW/UW</w:t>
            </w:r>
          </w:p>
        </w:tc>
        <w:tc>
          <w:tcPr>
            <w:tcW w:w="2384" w:type="dxa"/>
          </w:tcPr>
          <w:p w14:paraId="0B410913" w14:textId="2F968132" w:rsidR="00137F20" w:rsidRPr="00102A20" w:rsidRDefault="0079676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±1.0% - ±4.0%</w:t>
            </w:r>
          </w:p>
        </w:tc>
        <w:tc>
          <w:tcPr>
            <w:tcW w:w="2073" w:type="dxa"/>
          </w:tcPr>
          <w:p w14:paraId="0E32ED8B" w14:textId="44F697D6" w:rsidR="00137F20" w:rsidRPr="00102A20" w:rsidRDefault="005A1CDC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 xml:space="preserve">0.5 </w:t>
            </w:r>
            <w:r w:rsidR="00807C9A" w:rsidRPr="00102A20">
              <w:rPr>
                <w:rFonts w:cs="Arial"/>
                <w:szCs w:val="22"/>
              </w:rPr>
              <w:t xml:space="preserve">≤ </w:t>
            </w:r>
            <w:r w:rsidR="002037DF" w:rsidRPr="00102A20">
              <w:rPr>
                <w:rFonts w:cs="Arial"/>
                <w:szCs w:val="22"/>
              </w:rPr>
              <w:t xml:space="preserve">|Z| </w:t>
            </w:r>
            <w:r w:rsidR="00807C9A" w:rsidRPr="00102A20">
              <w:rPr>
                <w:rFonts w:cs="Arial"/>
                <w:szCs w:val="22"/>
              </w:rPr>
              <w:t>&lt;</w:t>
            </w:r>
            <w:r w:rsidRPr="00102A20">
              <w:rPr>
                <w:rFonts w:cs="Arial"/>
                <w:szCs w:val="22"/>
              </w:rPr>
              <w:t xml:space="preserve"> 1.5</w:t>
            </w:r>
          </w:p>
        </w:tc>
      </w:tr>
      <w:tr w:rsidR="00137F20" w:rsidRPr="00102A20" w14:paraId="0FC155F7" w14:textId="601AE26E" w:rsidTr="00005F12">
        <w:trPr>
          <w:trHeight w:val="268"/>
        </w:trPr>
        <w:tc>
          <w:tcPr>
            <w:tcW w:w="2808" w:type="dxa"/>
          </w:tcPr>
          <w:p w14:paraId="051EF59E" w14:textId="7C3CEF56" w:rsidR="00137F20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Low</w:t>
            </w:r>
            <w:r w:rsidR="00137F20" w:rsidRPr="00102A20">
              <w:rPr>
                <w:rFonts w:cs="Arial"/>
                <w:szCs w:val="22"/>
              </w:rPr>
              <w:t xml:space="preserve"> Conviction</w:t>
            </w:r>
          </w:p>
        </w:tc>
        <w:tc>
          <w:tcPr>
            <w:tcW w:w="2086" w:type="dxa"/>
          </w:tcPr>
          <w:p w14:paraId="32B37CCF" w14:textId="05C08A29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Neutral</w:t>
            </w:r>
          </w:p>
        </w:tc>
        <w:tc>
          <w:tcPr>
            <w:tcW w:w="2384" w:type="dxa"/>
          </w:tcPr>
          <w:p w14:paraId="1D763061" w14:textId="731EE9B8" w:rsidR="00137F20" w:rsidRPr="00102A20" w:rsidRDefault="00EA054B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0% - ±1.0%</w:t>
            </w:r>
          </w:p>
        </w:tc>
        <w:tc>
          <w:tcPr>
            <w:tcW w:w="2073" w:type="dxa"/>
          </w:tcPr>
          <w:p w14:paraId="026D77E5" w14:textId="3FCCAD2A" w:rsidR="00137F20" w:rsidRPr="00102A20" w:rsidRDefault="002037D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 &lt; 0.5</w:t>
            </w:r>
          </w:p>
        </w:tc>
      </w:tr>
    </w:tbl>
    <w:p w14:paraId="5F4C1D14" w14:textId="77777777" w:rsidR="002432FB" w:rsidRPr="00102A20" w:rsidRDefault="002432FB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231ACCBC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AA376FD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87FF291" w14:textId="5F89A387" w:rsidR="00DA14E9" w:rsidRPr="006F2493" w:rsidRDefault="00DA14E9" w:rsidP="00251DF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F2493">
        <w:rPr>
          <w:rFonts w:ascii="Arial" w:hAnsi="Arial" w:cs="Arial"/>
          <w:b/>
          <w:bCs/>
          <w:sz w:val="22"/>
          <w:szCs w:val="22"/>
        </w:rPr>
        <w:t>TAA Signal Generation Framework</w:t>
      </w:r>
    </w:p>
    <w:p w14:paraId="2E1125C3" w14:textId="29638AD7" w:rsidR="00DA14E9" w:rsidRPr="00102A20" w:rsidRDefault="00215B4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 xml:space="preserve">This report will present an approach to generate Cross-Asset trading Signal (Absolute and Relative) that will be based on </w:t>
      </w:r>
      <w:proofErr w:type="spellStart"/>
      <w:r w:rsidRPr="00102A20">
        <w:rPr>
          <w:rFonts w:ascii="Arial" w:hAnsi="Arial" w:cs="Arial"/>
          <w:sz w:val="22"/>
          <w:szCs w:val="22"/>
        </w:rPr>
        <w:t>Koijen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et al. (2018) for carry, ScienceDirect Moskowitz et al. (2012) for time-series momentum, ScienceDirect Ang &amp; Bekaert (2004) for regime switching, SSRN and practitioner frameworks from BlackRock, AQR, MSCI, and Bridgewater.</w:t>
      </w:r>
    </w:p>
    <w:p w14:paraId="2A08F1E0" w14:textId="0BC3FFB0" w:rsidR="00251DFA" w:rsidRPr="001E7215" w:rsidRDefault="00102A20" w:rsidP="001E7215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E7215">
        <w:rPr>
          <w:rFonts w:ascii="Arial" w:hAnsi="Arial" w:cs="Arial"/>
          <w:b/>
          <w:bCs/>
          <w:sz w:val="22"/>
          <w:szCs w:val="22"/>
        </w:rPr>
        <w:t>Z-score normalization turns heterogeneous signals into comparable scores</w:t>
      </w:r>
    </w:p>
    <w:p w14:paraId="65D739F8" w14:textId="2E952068" w:rsidR="00102A20" w:rsidRDefault="00102A2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The foundational operation in any multi-asset TAA system is converting raw signals (PMI levels, credit spreads, dividend yields) measured in incompatible units into standardized z-scores that can be aggregated. Three formulations dominate practice:</w:t>
      </w:r>
    </w:p>
    <w:p w14:paraId="528FA935" w14:textId="2E145DAB" w:rsidR="003E3C21" w:rsidRDefault="00C87D78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C87D78">
        <w:rPr>
          <w:rFonts w:ascii="Arial" w:hAnsi="Arial" w:cs="Arial"/>
          <w:b/>
          <w:bCs/>
          <w:sz w:val="22"/>
          <w:szCs w:val="22"/>
        </w:rPr>
        <w:t>Standard rolling z-score:</w:t>
      </w:r>
    </w:p>
    <w:p w14:paraId="43B437FC" w14:textId="3DE2C891" w:rsidR="00C87D78" w:rsidRPr="00FA1E07" w:rsidRDefault="00000000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den>
          </m:f>
        </m:oMath>
      </m:oMathPara>
    </w:p>
    <w:p w14:paraId="3AFB98E8" w14:textId="20B980AB" w:rsidR="00480F51" w:rsidRPr="00A85E59" w:rsidRDefault="00AD3960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Exponentially weighted z-score (EWMA):</w:t>
      </w:r>
    </w:p>
    <w:p w14:paraId="25758923" w14:textId="467B7643" w:rsidR="001C4389" w:rsidRPr="001C4389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= λ.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</m:oMath>
      </m:oMathPara>
    </w:p>
    <w:p w14:paraId="291AD83C" w14:textId="45F59E57" w:rsidR="001C4389" w:rsidRPr="001C4389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= λ.</m:t>
          </m:r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)²</m:t>
          </m:r>
        </m:oMath>
      </m:oMathPara>
    </w:p>
    <w:p w14:paraId="7FE27F7A" w14:textId="6E4F9988" w:rsidR="00480F51" w:rsidRPr="00102A20" w:rsidRDefault="00000000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</m:den>
          </m:f>
        </m:oMath>
      </m:oMathPara>
    </w:p>
    <w:p w14:paraId="587E6725" w14:textId="77777777" w:rsidR="00A85E59" w:rsidRPr="00A85E59" w:rsidRDefault="00A85E59" w:rsidP="00A85E59">
      <w:pPr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Robust median/MAD z-score (for fat-tailed series like credit spreads):</w:t>
      </w:r>
    </w:p>
    <w:p w14:paraId="7DAC8F7E" w14:textId="5ED2A80A" w:rsidR="00480F51" w:rsidRPr="00102A20" w:rsidRDefault="00000000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-median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(1.4826 x MAD)</m:t>
              </m:r>
            </m:den>
          </m:f>
        </m:oMath>
      </m:oMathPara>
    </w:p>
    <w:p w14:paraId="050D3E91" w14:textId="3C996CB9" w:rsidR="003D38D7" w:rsidRPr="0010635F" w:rsidRDefault="00622037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635F">
        <w:rPr>
          <w:rFonts w:ascii="Arial" w:hAnsi="Arial" w:cs="Arial"/>
          <w:b/>
          <w:bCs/>
          <w:sz w:val="22"/>
          <w:szCs w:val="22"/>
        </w:rPr>
        <w:t>Windows selection</w:t>
      </w:r>
    </w:p>
    <w:p w14:paraId="647F4939" w14:textId="77777777" w:rsidR="00DD0184" w:rsidRPr="00DD0184" w:rsidRDefault="00DD0184" w:rsidP="0010635F">
      <w:pPr>
        <w:jc w:val="both"/>
        <w:rPr>
          <w:rFonts w:ascii="Arial" w:hAnsi="Arial" w:cs="Arial"/>
          <w:sz w:val="22"/>
          <w:szCs w:val="22"/>
        </w:rPr>
      </w:pPr>
      <w:r w:rsidRPr="00DD0184">
        <w:rPr>
          <w:rFonts w:ascii="Arial" w:hAnsi="Arial" w:cs="Arial"/>
          <w:sz w:val="22"/>
          <w:szCs w:val="22"/>
        </w:rPr>
        <w:t xml:space="preserve">The choice of lookback window is not one-size-fits-all. Wang &amp; </w:t>
      </w:r>
      <w:proofErr w:type="spellStart"/>
      <w:r w:rsidRPr="00DD0184">
        <w:rPr>
          <w:rFonts w:ascii="Arial" w:hAnsi="Arial" w:cs="Arial"/>
          <w:sz w:val="22"/>
          <w:szCs w:val="22"/>
        </w:rPr>
        <w:t>Kochard</w:t>
      </w:r>
      <w:proofErr w:type="spellEnd"/>
      <w:r w:rsidRPr="00DD0184">
        <w:rPr>
          <w:rFonts w:ascii="Arial" w:hAnsi="Arial" w:cs="Arial"/>
          <w:sz w:val="22"/>
          <w:szCs w:val="22"/>
        </w:rPr>
        <w:t xml:space="preserve"> (2012) in the Journal of Wealth Management use long windows for valuation signals and shorter windows for momentum—a principle confirmed across practitioners. 5-year rolling serves as the default for most signals, capturing roughly one business cycle. 10-year or expanding windows suit valuation signals (CAPE, credit spread percentiles) that mean-revert slowly; MSCI’s Adaptive Multi-Factor framework uses 40 years of factor history for valuation z-scores. 3-year rolling works best for momentum and sentiment signals that require regime responsiveness.</w:t>
      </w:r>
    </w:p>
    <w:tbl>
      <w:tblPr>
        <w:tblW w:w="95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200"/>
        <w:gridCol w:w="4411"/>
      </w:tblGrid>
      <w:tr w:rsidR="004F47AC" w14:paraId="17515DC6" w14:textId="77777777" w:rsidTr="00DC2C60">
        <w:trPr>
          <w:trHeight w:val="12"/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A56726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  <w:lang w:val="es-PE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lastRenderedPageBreak/>
              <w:t>Window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6EBDDD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76C43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Tradeoff</w:t>
            </w:r>
          </w:p>
        </w:tc>
      </w:tr>
      <w:tr w:rsidR="004F47AC" w14:paraId="1ECD9040" w14:textId="77777777" w:rsidTr="00DC2C60">
        <w:trPr>
          <w:trHeight w:val="202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743F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3Y (36 months)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7BFDD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Momentum, sentiment, positioning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8464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More responsive; higher noise</w:t>
            </w:r>
          </w:p>
        </w:tc>
      </w:tr>
      <w:tr w:rsidR="004F47AC" w14:paraId="100729A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3BB65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5Y (60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8EADC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Default for most signals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6B33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Balances responsiveness and stability</w:t>
            </w:r>
          </w:p>
        </w:tc>
      </w:tr>
      <w:tr w:rsidR="004F47AC" w14:paraId="525386F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5436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10Y (120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8BE6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Valuation, structural indicators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D87E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Captures multiple regimes; slow to adapt</w:t>
            </w:r>
          </w:p>
        </w:tc>
      </w:tr>
      <w:tr w:rsidR="004F47AC" w14:paraId="4C8D39BE" w14:textId="77777777" w:rsidTr="00DC2C60">
        <w:trPr>
          <w:trHeight w:val="20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D16E7" w14:textId="34CCA1E1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EWMA (λ = 0.94-0.97)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49B13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Production systems needing adaptivity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DE4B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Smooth regime adaptation; BlackRock BGRI uses this</w:t>
            </w:r>
          </w:p>
        </w:tc>
      </w:tr>
    </w:tbl>
    <w:p w14:paraId="6A23844C" w14:textId="77777777" w:rsidR="00622037" w:rsidRDefault="0062203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51D1CE8B" w14:textId="1E51ED1F" w:rsidR="00A85E59" w:rsidRDefault="00DC2C60" w:rsidP="00DC2C60">
      <w:pPr>
        <w:jc w:val="both"/>
        <w:rPr>
          <w:rFonts w:ascii="Arial" w:hAnsi="Arial" w:cs="Arial"/>
          <w:sz w:val="22"/>
          <w:szCs w:val="22"/>
        </w:rPr>
      </w:pPr>
      <w:r w:rsidRPr="00DC2C60">
        <w:rPr>
          <w:rFonts w:ascii="Arial" w:hAnsi="Arial" w:cs="Arial"/>
          <w:sz w:val="22"/>
          <w:szCs w:val="22"/>
        </w:rPr>
        <w:t>BlackRock's BGRI explicitly "weighs recent readings more heavily in calculating the</w:t>
      </w:r>
      <w:r>
        <w:rPr>
          <w:rFonts w:ascii="Arial" w:hAnsi="Arial" w:cs="Arial"/>
          <w:sz w:val="22"/>
          <w:szCs w:val="22"/>
        </w:rPr>
        <w:t xml:space="preserve"> </w:t>
      </w:r>
      <w:r w:rsidRPr="00DC2C60">
        <w:rPr>
          <w:rFonts w:ascii="Arial" w:hAnsi="Arial" w:cs="Arial"/>
          <w:sz w:val="22"/>
          <w:szCs w:val="22"/>
        </w:rPr>
        <w:t xml:space="preserve">average," making it an EWMA z-score. This is arguably the best production choice: it naturally </w:t>
      </w:r>
      <w:proofErr w:type="spellStart"/>
      <w:r w:rsidRPr="00DC2C60">
        <w:rPr>
          <w:rFonts w:ascii="Arial" w:hAnsi="Arial" w:cs="Arial"/>
          <w:sz w:val="22"/>
          <w:szCs w:val="22"/>
        </w:rPr>
        <w:t>downweights</w:t>
      </w:r>
      <w:proofErr w:type="spellEnd"/>
      <w:r w:rsidRPr="00DC2C60">
        <w:rPr>
          <w:rFonts w:ascii="Arial" w:hAnsi="Arial" w:cs="Arial"/>
          <w:sz w:val="22"/>
          <w:szCs w:val="22"/>
        </w:rPr>
        <w:t xml:space="preserve"> stale regime data without requiring explicit structural break detection. For monthly TAA, λ = 0.95 gives an effective half-life of ~14 months, meaning data older than 3 years carries less than 5% weight.</w:t>
      </w:r>
    </w:p>
    <w:p w14:paraId="25CB980B" w14:textId="6D8BB550" w:rsidR="008F1A52" w:rsidRPr="00B91E92" w:rsidRDefault="00700B04" w:rsidP="00DC2C6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1E92">
        <w:rPr>
          <w:rFonts w:ascii="Arial" w:hAnsi="Arial" w:cs="Arial"/>
          <w:b/>
          <w:bCs/>
          <w:sz w:val="22"/>
          <w:szCs w:val="22"/>
        </w:rPr>
        <w:t>Handling regime breaks and outliers</w:t>
      </w:r>
    </w:p>
    <w:p w14:paraId="76EAE61D" w14:textId="2E5DE041" w:rsidR="008F1A52" w:rsidRDefault="00A01B10" w:rsidP="00DC2C60">
      <w:pPr>
        <w:jc w:val="both"/>
        <w:rPr>
          <w:rFonts w:ascii="Arial" w:hAnsi="Arial" w:cs="Arial"/>
          <w:sz w:val="22"/>
          <w:szCs w:val="22"/>
        </w:rPr>
      </w:pPr>
      <w:r w:rsidRPr="00A01B10">
        <w:rPr>
          <w:rFonts w:ascii="Arial" w:hAnsi="Arial" w:cs="Arial"/>
          <w:sz w:val="22"/>
          <w:szCs w:val="22"/>
        </w:rPr>
        <w:t xml:space="preserve">The post-2021 inflation regime exposed the fragility of fixed rolling windows that span structural breaks. Three approaches address this. First, </w:t>
      </w:r>
      <w:r w:rsidRPr="00823EE2">
        <w:rPr>
          <w:rFonts w:ascii="Arial" w:hAnsi="Arial" w:cs="Arial"/>
          <w:color w:val="EE0000"/>
          <w:sz w:val="22"/>
          <w:szCs w:val="22"/>
        </w:rPr>
        <w:t xml:space="preserve">Bai-Perron </w:t>
      </w:r>
      <w:r w:rsidRPr="00A01B10">
        <w:rPr>
          <w:rFonts w:ascii="Arial" w:hAnsi="Arial" w:cs="Arial"/>
          <w:sz w:val="22"/>
          <w:szCs w:val="22"/>
        </w:rPr>
        <w:t xml:space="preserve">structural break tests can detect unknown break points in each indicator series; z-scores are then computed only over post-break data. Second, EWMA z-scores handle this naturally by </w:t>
      </w:r>
      <w:proofErr w:type="spellStart"/>
      <w:r w:rsidRPr="00A01B10">
        <w:rPr>
          <w:rFonts w:ascii="Arial" w:hAnsi="Arial" w:cs="Arial"/>
          <w:sz w:val="22"/>
          <w:szCs w:val="22"/>
        </w:rPr>
        <w:t>downweighting</w:t>
      </w:r>
      <w:proofErr w:type="spellEnd"/>
      <w:r w:rsidRPr="00A01B10">
        <w:rPr>
          <w:rFonts w:ascii="Arial" w:hAnsi="Arial" w:cs="Arial"/>
          <w:sz w:val="22"/>
          <w:szCs w:val="22"/>
        </w:rPr>
        <w:t xml:space="preserve"> pre-break observations. Third, a blended approach combines windows:</w:t>
      </w:r>
    </w:p>
    <w:p w14:paraId="6791D4AE" w14:textId="43152FCC" w:rsidR="008F1A52" w:rsidRDefault="00000000" w:rsidP="00A01B10">
      <w:pPr>
        <w:ind w:left="708" w:hanging="708"/>
        <w:jc w:val="both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composite</m:t>
              </m:r>
            </m:sub>
          </m:sSub>
          <m:r>
            <w:rPr>
              <w:rFonts w:ascii="Cambria Math" w:hAnsi="Cambria Math"/>
            </w:rPr>
            <m:t>= 0.5x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3Y</m:t>
              </m:r>
            </m:sub>
          </m:sSub>
          <m:r>
            <w:rPr>
              <w:rFonts w:ascii="Cambria Math" w:hAnsi="Cambria Math"/>
            </w:rPr>
            <m:t>+0.3·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EWMA</m:t>
              </m:r>
            </m:sub>
          </m:sSub>
          <m:r>
            <w:rPr>
              <w:rFonts w:ascii="Cambria Math" w:hAnsi="Cambria Math"/>
            </w:rPr>
            <m:t>+0.2·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expanding</m:t>
              </m:r>
            </m:sub>
          </m:sSub>
        </m:oMath>
      </m:oMathPara>
    </w:p>
    <w:p w14:paraId="76EAF589" w14:textId="652AB6D9" w:rsidR="00B91E92" w:rsidRPr="00B91E92" w:rsidRDefault="00B91E92" w:rsidP="00B91E92">
      <w:pPr>
        <w:rPr>
          <w:rFonts w:ascii="Arial" w:hAnsi="Arial" w:cs="Arial"/>
          <w:sz w:val="22"/>
          <w:szCs w:val="22"/>
        </w:rPr>
      </w:pPr>
      <w:r w:rsidRPr="00B91E92">
        <w:rPr>
          <w:rFonts w:ascii="Arial" w:hAnsi="Arial" w:cs="Arial"/>
          <w:sz w:val="22"/>
          <w:szCs w:val="22"/>
        </w:rPr>
        <w:t xml:space="preserve">For outlier treatment, </w:t>
      </w:r>
      <w:proofErr w:type="spellStart"/>
      <w:r w:rsidRPr="00B91E92">
        <w:rPr>
          <w:rFonts w:ascii="Arial" w:hAnsi="Arial" w:cs="Arial"/>
          <w:sz w:val="22"/>
          <w:szCs w:val="22"/>
        </w:rPr>
        <w:t>winsorize</w:t>
      </w:r>
      <w:proofErr w:type="spellEnd"/>
      <w:r w:rsidRPr="00B91E92">
        <w:rPr>
          <w:rFonts w:ascii="Arial" w:hAnsi="Arial" w:cs="Arial"/>
          <w:sz w:val="22"/>
          <w:szCs w:val="22"/>
        </w:rPr>
        <w:t xml:space="preserve"> at ±3σ as default (±2.5σ for fat-tailed series like credit spreads and volatility measures). The Deutsche Bank “Seven Sins of Quantitative Investing” (Luo et al., 2014) recommends percentile-based </w:t>
      </w:r>
      <w:proofErr w:type="spellStart"/>
      <w:r w:rsidRPr="00B91E92">
        <w:rPr>
          <w:rFonts w:ascii="Arial" w:hAnsi="Arial" w:cs="Arial"/>
          <w:sz w:val="22"/>
          <w:szCs w:val="22"/>
        </w:rPr>
        <w:t>winsorization</w:t>
      </w:r>
      <w:proofErr w:type="spellEnd"/>
      <w:r w:rsidRPr="00B91E92">
        <w:rPr>
          <w:rFonts w:ascii="Arial" w:hAnsi="Arial" w:cs="Arial"/>
          <w:sz w:val="22"/>
          <w:szCs w:val="22"/>
        </w:rPr>
        <w:t xml:space="preserve"> at the 1st/99th percentile for non-normal data. The formula is simply: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final</m:t>
            </m:r>
          </m:sub>
        </m:sSub>
        <m:r>
          <w:rPr>
            <w:rFonts w:ascii="Cambria Math" w:hAnsi="Cambria Math" w:cs="Arial"/>
            <w:sz w:val="22"/>
            <w:szCs w:val="22"/>
          </w:rPr>
          <m:t>=clip(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raw</m:t>
            </m:r>
          </m:sub>
        </m:sSub>
        <m:r>
          <w:rPr>
            <w:rFonts w:ascii="Cambria Math" w:hAnsi="Cambria Math" w:cs="Arial"/>
            <w:sz w:val="22"/>
            <w:szCs w:val="22"/>
          </w:rPr>
          <m:t>, -3.0,+3.0)</m:t>
        </m:r>
      </m:oMath>
      <w:r w:rsidR="002A6F0F">
        <w:rPr>
          <w:rFonts w:ascii="Arial" w:eastAsiaTheme="minorEastAsia" w:hAnsi="Arial" w:cs="Arial"/>
          <w:sz w:val="22"/>
          <w:szCs w:val="22"/>
        </w:rPr>
        <w:t>.</w:t>
      </w:r>
    </w:p>
    <w:p w14:paraId="6769E5A0" w14:textId="4749129C" w:rsidR="008F1A52" w:rsidRPr="00924658" w:rsidRDefault="00924658" w:rsidP="002412C4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Signal Aggregation</w:t>
      </w:r>
      <w:r w:rsidRPr="0092465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5D441ED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1: Individual Series → raw metric → normalized z-score → score in [-3, +3]</w:t>
      </w:r>
    </w:p>
    <w:p w14:paraId="2AF1E7C2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2: Pillar Score → weighted average of z-scores within the pillar → re-normalized z-score</w:t>
      </w:r>
    </w:p>
    <w:p w14:paraId="6C1515A9" w14:textId="1D54BBF8" w:rsid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3: Composite → weighted average of the 4 pillars → Conviction [Low / Medium / High]</w:t>
      </w:r>
    </w:p>
    <w:p w14:paraId="409001FB" w14:textId="77777777" w:rsidR="00C93DAC" w:rsidRDefault="00C93DAC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316BF103" w14:textId="74302F9E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Carry Signals</w:t>
      </w:r>
    </w:p>
    <w:p w14:paraId="5887C5D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71700D5" w14:textId="5452460D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Regime Detection</w:t>
      </w:r>
    </w:p>
    <w:p w14:paraId="071CD368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F5EE8FB" w14:textId="2D21317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Momentum Signals</w:t>
      </w:r>
    </w:p>
    <w:p w14:paraId="7D7C3C4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0D9A8F68" w14:textId="6345B1B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Conviction Mapping and Position Sizing</w:t>
      </w:r>
    </w:p>
    <w:p w14:paraId="7DA2D362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7664371A" w14:textId="5C4B663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Relative Signals: How can they identify cross-asset mispricing</w:t>
      </w:r>
    </w:p>
    <w:p w14:paraId="0F315660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5E9B845A" w14:textId="77777777" w:rsidR="00E84D16" w:rsidRDefault="00E84D16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735CD7AA" w14:textId="246C88EB" w:rsidR="00B042F5" w:rsidRDefault="00F24F3F" w:rsidP="00B042F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TAA Signals Generation Methodology</w:t>
      </w:r>
    </w:p>
    <w:p w14:paraId="7C615BE0" w14:textId="77777777" w:rsidR="00F24F3F" w:rsidRDefault="00F24F3F" w:rsidP="00F24F3F">
      <w:pPr>
        <w:spacing w:before="360" w:after="120"/>
      </w:pPr>
      <w:r>
        <w:rPr>
          <w:b/>
          <w:color w:val="C41230"/>
          <w:sz w:val="36"/>
        </w:rPr>
        <w:t>Part 3 — Aggregation Pipeline</w:t>
      </w:r>
    </w:p>
    <w:p w14:paraId="3E0E8D9F" w14:textId="77777777" w:rsidR="00F24F3F" w:rsidRDefault="00F24F3F" w:rsidP="00F24F3F">
      <w:r>
        <w:rPr>
          <w:sz w:val="20"/>
        </w:rPr>
        <w:t>Raw series become a single composite score per asset class via five deterministic steps.</w:t>
      </w:r>
    </w:p>
    <w:p w14:paraId="4F5BE04E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Step 1 — Normalize each raw series to a z-score</w:t>
      </w:r>
    </w:p>
    <w:p w14:paraId="12B8FE7C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EWMA z-score (default for daily signals, span = 252×3 days ≈ 3Y half-life).</w:t>
      </w:r>
    </w:p>
    <w:p w14:paraId="5E078EF8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Rolling z-score for slow-moving valuation signals (P/E, ERP, real yield) with 10Y window.</w:t>
      </w:r>
    </w:p>
    <w:p w14:paraId="6304BB93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Percentile rank (5Y or 10Y) for non-normal distributions: VIX, OAS, P/E.</w:t>
      </w:r>
    </w:p>
    <w:p w14:paraId="479CDD6E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 xml:space="preserve">All z-scores </w:t>
      </w:r>
      <w:proofErr w:type="spellStart"/>
      <w:r>
        <w:t>winsorised</w:t>
      </w:r>
      <w:proofErr w:type="spellEnd"/>
      <w:r>
        <w:t xml:space="preserve"> to ±3σ.</w:t>
      </w:r>
    </w:p>
    <w:p w14:paraId="67E7956F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Step 2 — Apply sign conventions</w:t>
      </w:r>
    </w:p>
    <w:p w14:paraId="3A5CA050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Fixed-income duration: growth signals (PMI/GDP/CESI) are inverted (−1×).</w:t>
      </w:r>
    </w:p>
    <w:p w14:paraId="0E7EE080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Credit: spread tightening is positive → OAS/CDS momentum multiplied by −1.</w:t>
      </w:r>
    </w:p>
    <w:p w14:paraId="34775442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Yields: falling yield = rising bond price → yield momentum multiplied by −1.</w:t>
      </w:r>
    </w:p>
    <w:p w14:paraId="60E845EF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 xml:space="preserve">VIX / MOVE at extremes apply contrarian scoring (sign C): </w:t>
      </w:r>
      <w:proofErr w:type="spellStart"/>
      <w:r>
        <w:t>pctile</w:t>
      </w:r>
      <w:proofErr w:type="spellEnd"/>
      <w:r>
        <w:t xml:space="preserve"> &gt; 0.85 → +1.5; </w:t>
      </w:r>
      <w:proofErr w:type="spellStart"/>
      <w:r>
        <w:t>pctile</w:t>
      </w:r>
      <w:proofErr w:type="spellEnd"/>
      <w:r>
        <w:t xml:space="preserve"> &lt; 0.15 → −1.5.</w:t>
      </w:r>
    </w:p>
    <w:p w14:paraId="49CFD97C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CESI at percentile &gt; 0.85 or &lt; 0.15 is inverted (mean-reverting).</w:t>
      </w:r>
    </w:p>
    <w:p w14:paraId="45D746F5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Step 3 — Aggregate within each pillar</w:t>
      </w:r>
    </w:p>
    <w:p w14:paraId="6ECA07D5" w14:textId="77777777" w:rsidR="00F24F3F" w:rsidRDefault="00F24F3F" w:rsidP="00F24F3F">
      <w:r>
        <w:rPr>
          <w:sz w:val="20"/>
        </w:rPr>
        <w:t xml:space="preserve">Signals are combined inside each pillar using the weights specified in </w:t>
      </w:r>
      <w:proofErr w:type="spellStart"/>
      <w:r>
        <w:rPr>
          <w:sz w:val="20"/>
        </w:rPr>
        <w:t>SignalMapping</w:t>
      </w:r>
      <w:proofErr w:type="spellEnd"/>
      <w:r>
        <w:rPr>
          <w:sz w:val="20"/>
        </w:rPr>
        <w:t>. The result is re-</w:t>
      </w:r>
      <w:proofErr w:type="spellStart"/>
      <w:r>
        <w:rPr>
          <w:sz w:val="20"/>
        </w:rPr>
        <w:t>standardised</w:t>
      </w:r>
      <w:proofErr w:type="spellEnd"/>
      <w:r>
        <w:rPr>
          <w:sz w:val="20"/>
        </w:rPr>
        <w:t xml:space="preserve"> to restore unit variance.</w:t>
      </w:r>
    </w:p>
    <w:p w14:paraId="579B669F" w14:textId="77777777" w:rsidR="00F24F3F" w:rsidRDefault="00F24F3F" w:rsidP="00F24F3F">
      <w:pPr>
        <w:spacing w:before="80" w:after="80"/>
        <w:ind w:left="283"/>
      </w:pPr>
      <w:proofErr w:type="spellStart"/>
      <w:r>
        <w:rPr>
          <w:rFonts w:ascii="Consolas" w:hAnsi="Consolas"/>
          <w:color w:val="0B1220"/>
          <w:sz w:val="18"/>
        </w:rPr>
        <w:t>pillar_F_us</w:t>
      </w:r>
      <w:proofErr w:type="spellEnd"/>
      <w:r>
        <w:rPr>
          <w:rFonts w:ascii="Consolas" w:hAnsi="Consolas"/>
          <w:color w:val="0B1220"/>
          <w:sz w:val="18"/>
        </w:rPr>
        <w:t xml:space="preserve"> = Σ </w:t>
      </w:r>
      <w:proofErr w:type="spellStart"/>
      <w:r>
        <w:rPr>
          <w:rFonts w:ascii="Consolas" w:hAnsi="Consolas"/>
          <w:color w:val="0B1220"/>
          <w:sz w:val="18"/>
        </w:rPr>
        <w:t>w_i</w:t>
      </w:r>
      <w:proofErr w:type="spellEnd"/>
      <w:r>
        <w:rPr>
          <w:rFonts w:ascii="Consolas" w:hAnsi="Consolas"/>
          <w:color w:val="0B1220"/>
          <w:sz w:val="18"/>
        </w:rPr>
        <w:t xml:space="preserve"> × </w:t>
      </w:r>
      <w:proofErr w:type="spellStart"/>
      <w:r>
        <w:rPr>
          <w:rFonts w:ascii="Consolas" w:hAnsi="Consolas"/>
          <w:color w:val="0B1220"/>
          <w:sz w:val="18"/>
        </w:rPr>
        <w:t>z_i</w:t>
      </w:r>
      <w:proofErr w:type="spellEnd"/>
      <w:r>
        <w:rPr>
          <w:rFonts w:ascii="Consolas" w:hAnsi="Consolas"/>
          <w:color w:val="0B1220"/>
          <w:sz w:val="18"/>
        </w:rPr>
        <w:t xml:space="preserve">   over Fundamentals signals mapped to </w:t>
      </w:r>
      <w:proofErr w:type="spellStart"/>
      <w:r>
        <w:rPr>
          <w:rFonts w:ascii="Consolas" w:hAnsi="Consolas"/>
          <w:color w:val="0B1220"/>
          <w:sz w:val="18"/>
        </w:rPr>
        <w:t>us_equity</w:t>
      </w:r>
      <w:proofErr w:type="spellEnd"/>
      <w:r>
        <w:rPr>
          <w:rFonts w:ascii="Consolas" w:hAnsi="Consolas"/>
          <w:color w:val="0B1220"/>
          <w:sz w:val="18"/>
        </w:rPr>
        <w:br/>
      </w:r>
      <w:proofErr w:type="spellStart"/>
      <w:r>
        <w:rPr>
          <w:rFonts w:ascii="Consolas" w:hAnsi="Consolas"/>
          <w:color w:val="0B1220"/>
          <w:sz w:val="18"/>
        </w:rPr>
        <w:t>Z_F_us</w:t>
      </w:r>
      <w:proofErr w:type="spellEnd"/>
      <w:r>
        <w:rPr>
          <w:rFonts w:ascii="Consolas" w:hAnsi="Consolas"/>
          <w:color w:val="0B1220"/>
          <w:sz w:val="18"/>
        </w:rPr>
        <w:t xml:space="preserve">      = </w:t>
      </w:r>
      <w:proofErr w:type="spellStart"/>
      <w:r>
        <w:rPr>
          <w:rFonts w:ascii="Consolas" w:hAnsi="Consolas"/>
          <w:color w:val="0B1220"/>
          <w:sz w:val="18"/>
        </w:rPr>
        <w:t>rolling_</w:t>
      </w:r>
      <w:proofErr w:type="gramStart"/>
      <w:r>
        <w:rPr>
          <w:rFonts w:ascii="Consolas" w:hAnsi="Consolas"/>
          <w:color w:val="0B1220"/>
          <w:sz w:val="18"/>
        </w:rPr>
        <w:t>zscore</w:t>
      </w:r>
      <w:proofErr w:type="spellEnd"/>
      <w:r>
        <w:rPr>
          <w:rFonts w:ascii="Consolas" w:hAnsi="Consolas"/>
          <w:color w:val="0B1220"/>
          <w:sz w:val="18"/>
        </w:rPr>
        <w:t>(</w:t>
      </w:r>
      <w:proofErr w:type="spellStart"/>
      <w:proofErr w:type="gramEnd"/>
      <w:r>
        <w:rPr>
          <w:rFonts w:ascii="Consolas" w:hAnsi="Consolas"/>
          <w:color w:val="0B1220"/>
          <w:sz w:val="18"/>
        </w:rPr>
        <w:t>pillar_F_us</w:t>
      </w:r>
      <w:proofErr w:type="spellEnd"/>
      <w:r>
        <w:rPr>
          <w:rFonts w:ascii="Consolas" w:hAnsi="Consolas"/>
          <w:color w:val="0B1220"/>
          <w:sz w:val="18"/>
        </w:rPr>
        <w:t>, 252</w:t>
      </w:r>
      <w:proofErr w:type="gramStart"/>
      <w:r>
        <w:rPr>
          <w:rFonts w:ascii="Consolas" w:hAnsi="Consolas"/>
          <w:color w:val="0B1220"/>
          <w:sz w:val="18"/>
        </w:rPr>
        <w:t>).clip</w:t>
      </w:r>
      <w:proofErr w:type="gramEnd"/>
      <w:r>
        <w:rPr>
          <w:rFonts w:ascii="Consolas" w:hAnsi="Consolas"/>
          <w:color w:val="0B1220"/>
          <w:sz w:val="18"/>
        </w:rPr>
        <w:t>(-3, 3)</w:t>
      </w:r>
    </w:p>
    <w:p w14:paraId="7FBCBF7E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Step 4 — Combine pillars into a composite</w:t>
      </w:r>
    </w:p>
    <w:p w14:paraId="070B4DE5" w14:textId="77777777" w:rsidR="00F24F3F" w:rsidRDefault="00F24F3F" w:rsidP="00F24F3F">
      <w:r>
        <w:rPr>
          <w:sz w:val="20"/>
        </w:rPr>
        <w:t xml:space="preserve">Per-asset-class pillar weights (from </w:t>
      </w:r>
      <w:proofErr w:type="spellStart"/>
      <w:r>
        <w:rPr>
          <w:sz w:val="20"/>
        </w:rPr>
        <w:t>PillarWeights</w:t>
      </w:r>
      <w:proofErr w:type="spellEnd"/>
      <w:r>
        <w:rPr>
          <w:sz w:val="20"/>
        </w:rPr>
        <w:t>) feed the composite.</w:t>
      </w:r>
    </w:p>
    <w:p w14:paraId="03C39C35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Step 5 — Apply the pillar-agreement multiplier</w:t>
      </w:r>
    </w:p>
    <w:p w14:paraId="024C4831" w14:textId="77777777" w:rsidR="00F24F3F" w:rsidRDefault="00F24F3F" w:rsidP="00F24F3F">
      <w:r>
        <w:rPr>
          <w:sz w:val="20"/>
        </w:rPr>
        <w:t>Conviction quality filter: count how many of F/M/S/V share the sign of the composite (ignoring pillars with |z| &lt; 0.25).</w:t>
      </w:r>
    </w:p>
    <w:p w14:paraId="437A3659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4 of 4 agree → multiplier 1.00 — full conviction.</w:t>
      </w:r>
    </w:p>
    <w:p w14:paraId="4283D72A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3 of 4 agree → multiplier 0.80.</w:t>
      </w:r>
    </w:p>
    <w:p w14:paraId="56E24724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>2 of 4 agree → multiplier 0.50.</w:t>
      </w:r>
    </w:p>
    <w:p w14:paraId="41D00499" w14:textId="77777777" w:rsidR="00F24F3F" w:rsidRDefault="00F24F3F" w:rsidP="00F24F3F">
      <w:pPr>
        <w:pStyle w:val="Listaconvietas"/>
        <w:tabs>
          <w:tab w:val="num" w:pos="360"/>
        </w:tabs>
        <w:ind w:left="360" w:hanging="360"/>
      </w:pPr>
      <w:r>
        <w:t xml:space="preserve">1 or 0 agree → multiplier 0.00 — the pillars disagree too much; tilt is </w:t>
      </w:r>
      <w:proofErr w:type="spellStart"/>
      <w:r>
        <w:t>neutralised</w:t>
      </w:r>
      <w:proofErr w:type="spellEnd"/>
      <w:r>
        <w:t>.</w:t>
      </w:r>
    </w:p>
    <w:p w14:paraId="644D3739" w14:textId="77777777" w:rsidR="00F24F3F" w:rsidRDefault="00F24F3F" w:rsidP="00F24F3F">
      <w:pPr>
        <w:spacing w:before="360" w:after="120"/>
      </w:pPr>
      <w:r>
        <w:rPr>
          <w:b/>
          <w:color w:val="C41230"/>
          <w:sz w:val="36"/>
        </w:rPr>
        <w:lastRenderedPageBreak/>
        <w:t>Part 4 — Absolute vs Relative Views, Tilt Sizing</w:t>
      </w:r>
    </w:p>
    <w:p w14:paraId="014C7727" w14:textId="77777777" w:rsidR="00F24F3F" w:rsidRDefault="00F24F3F" w:rsidP="00F24F3F">
      <w:r>
        <w:rPr>
          <w:sz w:val="20"/>
        </w:rPr>
        <w:t>The composite is blended 35% absolute / 65% relative before sizing the tilt. Absolute view asks: "Is this AC attractive vs its own history?" Relative view asks: "Which AC do I prefer over the others?" The two together let the system express "OW equity / UW FI" calls naturally even when both absolute scores are positive.</w:t>
      </w:r>
    </w:p>
    <w:p w14:paraId="6D83C6CB" w14:textId="77777777" w:rsidR="00F24F3F" w:rsidRDefault="00F24F3F" w:rsidP="00F24F3F">
      <w:pPr>
        <w:spacing w:before="80" w:after="80"/>
        <w:ind w:left="283"/>
      </w:pPr>
      <w:proofErr w:type="spellStart"/>
      <w:r>
        <w:rPr>
          <w:rFonts w:ascii="Consolas" w:hAnsi="Consolas"/>
          <w:color w:val="0B1220"/>
          <w:sz w:val="18"/>
        </w:rPr>
        <w:t>Z_rel</w:t>
      </w:r>
      <w:proofErr w:type="spellEnd"/>
      <w:r>
        <w:rPr>
          <w:rFonts w:ascii="Consolas" w:hAnsi="Consolas"/>
          <w:color w:val="0B1220"/>
          <w:sz w:val="18"/>
        </w:rPr>
        <w:t xml:space="preserve">    = (</w:t>
      </w:r>
      <w:proofErr w:type="spellStart"/>
      <w:r>
        <w:rPr>
          <w:rFonts w:ascii="Consolas" w:hAnsi="Consolas"/>
          <w:color w:val="0B1220"/>
          <w:sz w:val="18"/>
        </w:rPr>
        <w:t>Z_composite</w:t>
      </w:r>
      <w:proofErr w:type="spellEnd"/>
      <w:r>
        <w:rPr>
          <w:rFonts w:ascii="Consolas" w:hAnsi="Consolas"/>
          <w:color w:val="0B1220"/>
          <w:sz w:val="18"/>
        </w:rPr>
        <w:t xml:space="preserve"> - </w:t>
      </w:r>
      <w:proofErr w:type="gramStart"/>
      <w:r>
        <w:rPr>
          <w:rFonts w:ascii="Consolas" w:hAnsi="Consolas"/>
          <w:color w:val="0B1220"/>
          <w:sz w:val="18"/>
        </w:rPr>
        <w:t>mean(</w:t>
      </w:r>
      <w:proofErr w:type="spellStart"/>
      <w:proofErr w:type="gramEnd"/>
      <w:r>
        <w:rPr>
          <w:rFonts w:ascii="Consolas" w:hAnsi="Consolas"/>
          <w:color w:val="0B1220"/>
          <w:sz w:val="18"/>
        </w:rPr>
        <w:t>Z_composite</w:t>
      </w:r>
      <w:proofErr w:type="spellEnd"/>
      <w:r>
        <w:rPr>
          <w:rFonts w:ascii="Consolas" w:hAnsi="Consolas"/>
          <w:color w:val="0B1220"/>
          <w:sz w:val="18"/>
        </w:rPr>
        <w:t xml:space="preserve"> across AC)) / std(...)</w:t>
      </w:r>
      <w:r>
        <w:rPr>
          <w:rFonts w:ascii="Consolas" w:hAnsi="Consolas"/>
          <w:color w:val="0B1220"/>
          <w:sz w:val="18"/>
        </w:rPr>
        <w:br/>
      </w:r>
      <w:proofErr w:type="spellStart"/>
      <w:r>
        <w:rPr>
          <w:rFonts w:ascii="Consolas" w:hAnsi="Consolas"/>
          <w:color w:val="0B1220"/>
          <w:sz w:val="18"/>
        </w:rPr>
        <w:t>Z_</w:t>
      </w:r>
      <w:proofErr w:type="gramStart"/>
      <w:r>
        <w:rPr>
          <w:rFonts w:ascii="Consolas" w:hAnsi="Consolas"/>
          <w:color w:val="0B1220"/>
          <w:sz w:val="18"/>
        </w:rPr>
        <w:t>final</w:t>
      </w:r>
      <w:proofErr w:type="spellEnd"/>
      <w:r>
        <w:rPr>
          <w:rFonts w:ascii="Consolas" w:hAnsi="Consolas"/>
          <w:color w:val="0B1220"/>
          <w:sz w:val="18"/>
        </w:rPr>
        <w:t xml:space="preserve">  =</w:t>
      </w:r>
      <w:proofErr w:type="gramEnd"/>
      <w:r>
        <w:rPr>
          <w:rFonts w:ascii="Consolas" w:hAnsi="Consolas"/>
          <w:color w:val="0B1220"/>
          <w:sz w:val="18"/>
        </w:rPr>
        <w:t xml:space="preserve"> 0.35 × </w:t>
      </w:r>
      <w:proofErr w:type="spellStart"/>
      <w:r>
        <w:rPr>
          <w:rFonts w:ascii="Consolas" w:hAnsi="Consolas"/>
          <w:color w:val="0B1220"/>
          <w:sz w:val="18"/>
        </w:rPr>
        <w:t>Z_</w:t>
      </w:r>
      <w:proofErr w:type="gramStart"/>
      <w:r>
        <w:rPr>
          <w:rFonts w:ascii="Consolas" w:hAnsi="Consolas"/>
          <w:color w:val="0B1220"/>
          <w:sz w:val="18"/>
        </w:rPr>
        <w:t>composite</w:t>
      </w:r>
      <w:proofErr w:type="spellEnd"/>
      <w:r>
        <w:rPr>
          <w:rFonts w:ascii="Consolas" w:hAnsi="Consolas"/>
          <w:color w:val="0B1220"/>
          <w:sz w:val="18"/>
        </w:rPr>
        <w:t xml:space="preserve">  +</w:t>
      </w:r>
      <w:proofErr w:type="gramEnd"/>
      <w:r>
        <w:rPr>
          <w:rFonts w:ascii="Consolas" w:hAnsi="Consolas"/>
          <w:color w:val="0B1220"/>
          <w:sz w:val="18"/>
        </w:rPr>
        <w:t xml:space="preserve">  0.65 × </w:t>
      </w:r>
      <w:proofErr w:type="spellStart"/>
      <w:r>
        <w:rPr>
          <w:rFonts w:ascii="Consolas" w:hAnsi="Consolas"/>
          <w:color w:val="0B1220"/>
          <w:sz w:val="18"/>
        </w:rPr>
        <w:t>Z_rel</w:t>
      </w:r>
      <w:proofErr w:type="spellEnd"/>
      <w:r>
        <w:rPr>
          <w:rFonts w:ascii="Consolas" w:hAnsi="Consolas"/>
          <w:color w:val="0B1220"/>
          <w:sz w:val="18"/>
        </w:rPr>
        <w:br/>
      </w:r>
      <w:proofErr w:type="spellStart"/>
      <w:r>
        <w:rPr>
          <w:rFonts w:ascii="Consolas" w:hAnsi="Consolas"/>
          <w:color w:val="0B1220"/>
          <w:sz w:val="18"/>
        </w:rPr>
        <w:t>tilt_</w:t>
      </w:r>
      <w:proofErr w:type="gramStart"/>
      <w:r>
        <w:rPr>
          <w:rFonts w:ascii="Consolas" w:hAnsi="Consolas"/>
          <w:color w:val="0B1220"/>
          <w:sz w:val="18"/>
        </w:rPr>
        <w:t>ac</w:t>
      </w:r>
      <w:proofErr w:type="spellEnd"/>
      <w:r>
        <w:rPr>
          <w:rFonts w:ascii="Consolas" w:hAnsi="Consolas"/>
          <w:color w:val="0B1220"/>
          <w:sz w:val="18"/>
        </w:rPr>
        <w:t xml:space="preserve">  =</w:t>
      </w:r>
      <w:proofErr w:type="gramEnd"/>
      <w:r>
        <w:rPr>
          <w:rFonts w:ascii="Consolas" w:hAnsi="Consolas"/>
          <w:color w:val="0B1220"/>
          <w:sz w:val="18"/>
        </w:rPr>
        <w:t xml:space="preserve"> </w:t>
      </w:r>
      <w:proofErr w:type="gramStart"/>
      <w:r>
        <w:rPr>
          <w:rFonts w:ascii="Consolas" w:hAnsi="Consolas"/>
          <w:color w:val="0B1220"/>
          <w:sz w:val="18"/>
        </w:rPr>
        <w:t>clip(</w:t>
      </w:r>
      <w:proofErr w:type="spellStart"/>
      <w:proofErr w:type="gramEnd"/>
      <w:r>
        <w:rPr>
          <w:rFonts w:ascii="Consolas" w:hAnsi="Consolas"/>
          <w:color w:val="0B1220"/>
          <w:sz w:val="18"/>
        </w:rPr>
        <w:t>Z_final</w:t>
      </w:r>
      <w:proofErr w:type="spellEnd"/>
      <w:r>
        <w:rPr>
          <w:rFonts w:ascii="Consolas" w:hAnsi="Consolas"/>
          <w:color w:val="0B1220"/>
          <w:sz w:val="18"/>
        </w:rPr>
        <w:t xml:space="preserve"> × </w:t>
      </w:r>
      <w:proofErr w:type="spellStart"/>
      <w:r>
        <w:rPr>
          <w:rFonts w:ascii="Consolas" w:hAnsi="Consolas"/>
          <w:color w:val="0B1220"/>
          <w:sz w:val="18"/>
        </w:rPr>
        <w:t>max_tilt_ac</w:t>
      </w:r>
      <w:proofErr w:type="spellEnd"/>
      <w:r>
        <w:rPr>
          <w:rFonts w:ascii="Consolas" w:hAnsi="Consolas"/>
          <w:color w:val="0B1220"/>
          <w:sz w:val="18"/>
        </w:rPr>
        <w:t xml:space="preserve"> × </w:t>
      </w:r>
      <w:proofErr w:type="spellStart"/>
      <w:r>
        <w:rPr>
          <w:rFonts w:ascii="Consolas" w:hAnsi="Consolas"/>
          <w:color w:val="0B1220"/>
          <w:sz w:val="18"/>
        </w:rPr>
        <w:t>conviction_mult</w:t>
      </w:r>
      <w:proofErr w:type="spellEnd"/>
      <w:r>
        <w:rPr>
          <w:rFonts w:ascii="Consolas" w:hAnsi="Consolas"/>
          <w:color w:val="0B1220"/>
          <w:sz w:val="18"/>
        </w:rPr>
        <w:t>, -</w:t>
      </w:r>
      <w:proofErr w:type="spellStart"/>
      <w:r>
        <w:rPr>
          <w:rFonts w:ascii="Consolas" w:hAnsi="Consolas"/>
          <w:color w:val="0B1220"/>
          <w:sz w:val="18"/>
        </w:rPr>
        <w:t>max_tilt_ac</w:t>
      </w:r>
      <w:proofErr w:type="spellEnd"/>
      <w:r>
        <w:rPr>
          <w:rFonts w:ascii="Consolas" w:hAnsi="Consolas"/>
          <w:color w:val="0B1220"/>
          <w:sz w:val="18"/>
        </w:rPr>
        <w:t>, +</w:t>
      </w:r>
      <w:proofErr w:type="spellStart"/>
      <w:r>
        <w:rPr>
          <w:rFonts w:ascii="Consolas" w:hAnsi="Consolas"/>
          <w:color w:val="0B1220"/>
          <w:sz w:val="18"/>
        </w:rPr>
        <w:t>max_tilt_ac</w:t>
      </w:r>
      <w:proofErr w:type="spellEnd"/>
      <w:r>
        <w:rPr>
          <w:rFonts w:ascii="Consolas" w:hAnsi="Consolas"/>
          <w:color w:val="0B1220"/>
          <w:sz w:val="18"/>
        </w:rPr>
        <w:t>)</w:t>
      </w:r>
    </w:p>
    <w:p w14:paraId="0034915D" w14:textId="77777777" w:rsidR="00F24F3F" w:rsidRDefault="00F24F3F" w:rsidP="00F24F3F">
      <w:pPr>
        <w:spacing w:before="280" w:after="80"/>
      </w:pPr>
      <w:r>
        <w:rPr>
          <w:b/>
          <w:color w:val="0B1220"/>
          <w:sz w:val="28"/>
        </w:rPr>
        <w:t>Conviction mapping (absolute view)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4F3F" w14:paraId="1596E052" w14:textId="77777777" w:rsidTr="00C53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2E47"/>
          </w:tcPr>
          <w:p w14:paraId="7BB94BE9" w14:textId="77777777" w:rsidR="00F24F3F" w:rsidRDefault="00F24F3F" w:rsidP="00C53941">
            <w:r>
              <w:rPr>
                <w:color w:val="FFFFFF"/>
              </w:rPr>
              <w:t>Z composite</w:t>
            </w:r>
          </w:p>
        </w:tc>
        <w:tc>
          <w:tcPr>
            <w:tcW w:w="2880" w:type="dxa"/>
            <w:shd w:val="clear" w:color="auto" w:fill="1E2E47"/>
          </w:tcPr>
          <w:p w14:paraId="0EA23384" w14:textId="77777777" w:rsidR="00F24F3F" w:rsidRDefault="00F24F3F" w:rsidP="00C539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Label</w:t>
            </w:r>
          </w:p>
        </w:tc>
        <w:tc>
          <w:tcPr>
            <w:tcW w:w="2880" w:type="dxa"/>
            <w:shd w:val="clear" w:color="auto" w:fill="1E2E47"/>
          </w:tcPr>
          <w:p w14:paraId="7F9F1934" w14:textId="77777777" w:rsidR="00F24F3F" w:rsidRDefault="00F24F3F" w:rsidP="00C539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Tilt vs SAA</w:t>
            </w:r>
          </w:p>
        </w:tc>
      </w:tr>
      <w:tr w:rsidR="00F24F3F" w14:paraId="5E2610CD" w14:textId="77777777" w:rsidTr="00C53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86A27" w14:textId="77777777" w:rsidR="00F24F3F" w:rsidRDefault="00F24F3F" w:rsidP="00C53941">
            <w:r>
              <w:t>&gt; +1.50</w:t>
            </w:r>
          </w:p>
        </w:tc>
        <w:tc>
          <w:tcPr>
            <w:tcW w:w="2880" w:type="dxa"/>
          </w:tcPr>
          <w:p w14:paraId="217D3522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OVERWEIGHT</w:t>
            </w:r>
          </w:p>
        </w:tc>
        <w:tc>
          <w:tcPr>
            <w:tcW w:w="2880" w:type="dxa"/>
          </w:tcPr>
          <w:p w14:paraId="5B6C2075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+3.0% to +5.0%</w:t>
            </w:r>
          </w:p>
        </w:tc>
      </w:tr>
      <w:tr w:rsidR="00F24F3F" w14:paraId="7E95BE92" w14:textId="77777777" w:rsidTr="00C539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F82AE" w14:textId="77777777" w:rsidR="00F24F3F" w:rsidRDefault="00F24F3F" w:rsidP="00C53941">
            <w:r>
              <w:t>+0.75 to +1.50</w:t>
            </w:r>
          </w:p>
        </w:tc>
        <w:tc>
          <w:tcPr>
            <w:tcW w:w="2880" w:type="dxa"/>
          </w:tcPr>
          <w:p w14:paraId="6C2530DD" w14:textId="77777777" w:rsidR="00F24F3F" w:rsidRDefault="00F24F3F" w:rsidP="00C53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OVERWEIGHT</w:t>
            </w:r>
          </w:p>
        </w:tc>
        <w:tc>
          <w:tcPr>
            <w:tcW w:w="2880" w:type="dxa"/>
          </w:tcPr>
          <w:p w14:paraId="69D07E9A" w14:textId="77777777" w:rsidR="00F24F3F" w:rsidRDefault="00F24F3F" w:rsidP="00C53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+1.5% to +3.0%</w:t>
            </w:r>
          </w:p>
        </w:tc>
      </w:tr>
      <w:tr w:rsidR="00F24F3F" w14:paraId="0087EDB7" w14:textId="77777777" w:rsidTr="00C53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CE511" w14:textId="77777777" w:rsidR="00F24F3F" w:rsidRDefault="00F24F3F" w:rsidP="00C53941">
            <w:r>
              <w:t>-0.75 to +0.75</w:t>
            </w:r>
          </w:p>
        </w:tc>
        <w:tc>
          <w:tcPr>
            <w:tcW w:w="2880" w:type="dxa"/>
          </w:tcPr>
          <w:p w14:paraId="56ACAB18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2880" w:type="dxa"/>
          </w:tcPr>
          <w:p w14:paraId="392CA377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</w:tr>
      <w:tr w:rsidR="00F24F3F" w14:paraId="5DEBBCFC" w14:textId="77777777" w:rsidTr="00C539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74504" w14:textId="77777777" w:rsidR="00F24F3F" w:rsidRDefault="00F24F3F" w:rsidP="00C53941">
            <w:r>
              <w:t>-1.50 to -0.75</w:t>
            </w:r>
          </w:p>
        </w:tc>
        <w:tc>
          <w:tcPr>
            <w:tcW w:w="2880" w:type="dxa"/>
          </w:tcPr>
          <w:p w14:paraId="06DFABDC" w14:textId="77777777" w:rsidR="00F24F3F" w:rsidRDefault="00F24F3F" w:rsidP="00C53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UNDERWEIGHT</w:t>
            </w:r>
          </w:p>
        </w:tc>
        <w:tc>
          <w:tcPr>
            <w:tcW w:w="2880" w:type="dxa"/>
          </w:tcPr>
          <w:p w14:paraId="4DD0CA3F" w14:textId="77777777" w:rsidR="00F24F3F" w:rsidRDefault="00F24F3F" w:rsidP="00C53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-1.5% to -3.0%</w:t>
            </w:r>
          </w:p>
        </w:tc>
      </w:tr>
      <w:tr w:rsidR="00F24F3F" w14:paraId="22D1B7A0" w14:textId="77777777" w:rsidTr="00C53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DF12E" w14:textId="77777777" w:rsidR="00F24F3F" w:rsidRDefault="00F24F3F" w:rsidP="00C53941">
            <w:r>
              <w:t>&lt; -1.50</w:t>
            </w:r>
          </w:p>
        </w:tc>
        <w:tc>
          <w:tcPr>
            <w:tcW w:w="2880" w:type="dxa"/>
          </w:tcPr>
          <w:p w14:paraId="0CDA3F31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UNDERWEIGHT</w:t>
            </w:r>
          </w:p>
        </w:tc>
        <w:tc>
          <w:tcPr>
            <w:tcW w:w="2880" w:type="dxa"/>
          </w:tcPr>
          <w:p w14:paraId="2BB6E73C" w14:textId="77777777" w:rsidR="00F24F3F" w:rsidRDefault="00F24F3F" w:rsidP="00C53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-3.0% to -5.0%</w:t>
            </w:r>
          </w:p>
        </w:tc>
      </w:tr>
    </w:tbl>
    <w:p w14:paraId="4C20A749" w14:textId="77777777" w:rsidR="00F24F3F" w:rsidRPr="00F24F3F" w:rsidRDefault="00F24F3F" w:rsidP="00B042F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7FC70433" w14:textId="77777777" w:rsidR="00B1375C" w:rsidRDefault="00B1375C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3CA44D5F" w14:textId="77777777" w:rsidR="00B1375C" w:rsidRDefault="00B1375C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55C6E499" w14:textId="77777777" w:rsidR="00B1375C" w:rsidRDefault="00B1375C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0AC57F3B" w14:textId="77777777" w:rsidR="00B042F5" w:rsidRDefault="00B042F5" w:rsidP="00B042F5">
      <w:pPr>
        <w:spacing w:line="240" w:lineRule="auto"/>
        <w:rPr>
          <w:rFonts w:ascii="Arial" w:hAnsi="Arial" w:cs="Arial"/>
          <w:sz w:val="22"/>
          <w:szCs w:val="22"/>
        </w:rPr>
      </w:pPr>
    </w:p>
    <w:p w14:paraId="7E2220AA" w14:textId="63E00355" w:rsidR="00EB2B23" w:rsidRPr="00B042F5" w:rsidRDefault="00EB2B23" w:rsidP="00B042F5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  <w:r>
        <w:rPr>
          <w:rFonts w:ascii="Arial" w:hAnsi="Arial" w:cs="Arial"/>
          <w:sz w:val="22"/>
          <w:szCs w:val="22"/>
        </w:rPr>
        <w:lastRenderedPageBreak/>
        <w:br w:type="column"/>
      </w:r>
      <w:r>
        <w:rPr>
          <w:rFonts w:ascii="Arial" w:hAnsi="Arial" w:cs="Arial"/>
          <w:sz w:val="22"/>
          <w:szCs w:val="22"/>
        </w:rPr>
        <w:lastRenderedPageBreak/>
        <w:br w:type="column"/>
      </w:r>
      <w:r>
        <w:rPr>
          <w:rFonts w:ascii="Arial" w:hAnsi="Arial" w:cs="Arial"/>
          <w:sz w:val="22"/>
          <w:szCs w:val="22"/>
        </w:rPr>
        <w:lastRenderedPageBreak/>
        <w:br w:type="column"/>
      </w:r>
    </w:p>
    <w:p w14:paraId="335C8F44" w14:textId="77777777" w:rsidR="00E84D16" w:rsidRDefault="00E84D1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95C0A7E" w14:textId="6D117A49" w:rsidR="00A85E59" w:rsidRDefault="004F47AC" w:rsidP="00251DFA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Other useful links</w:t>
      </w:r>
    </w:p>
    <w:p w14:paraId="0C51B27B" w14:textId="18DAF2B3" w:rsidR="004F47AC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hyperlink r:id="rId6" w:history="1">
        <w:r w:rsidRPr="00913DDB">
          <w:rPr>
            <w:rStyle w:val="Hipervnculo"/>
            <w:rFonts w:ascii="Arial" w:hAnsi="Arial" w:cs="Arial"/>
            <w:sz w:val="22"/>
            <w:szCs w:val="22"/>
          </w:rPr>
          <w:t>https://www.blackrock.com/institutions/en-apac/insights/thought-leadership/blackrock-investment-institute/interactive-charts/geopolitical-risk-dashboard</w:t>
        </w:r>
      </w:hyperlink>
    </w:p>
    <w:p w14:paraId="558C1152" w14:textId="3C4E7C61" w:rsidR="00823EE2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823EE2">
        <w:rPr>
          <w:rFonts w:ascii="Arial" w:hAnsi="Arial" w:cs="Arial"/>
          <w:sz w:val="22"/>
          <w:szCs w:val="22"/>
        </w:rPr>
        <w:t>https://www.aptech.com/structural-breaks/</w:t>
      </w:r>
    </w:p>
    <w:p w14:paraId="641D9C34" w14:textId="77777777" w:rsidR="00A85E59" w:rsidRPr="00102A20" w:rsidRDefault="00A85E59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39E47A3" w14:textId="6378262E" w:rsidR="003D38D7" w:rsidRPr="00102A20" w:rsidRDefault="00480F51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t>Bibliography</w:t>
      </w:r>
    </w:p>
    <w:sdt>
      <w:sdtPr>
        <w:rPr>
          <w:rFonts w:ascii="Arial" w:hAnsi="Arial" w:cs="Arial"/>
          <w:sz w:val="22"/>
          <w:szCs w:val="22"/>
          <w:lang w:val="es-MX"/>
        </w:rPr>
        <w:id w:val="-1783018700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sdt>
          <w:sdtPr>
            <w:rPr>
              <w:rFonts w:ascii="Arial" w:hAnsi="Arial" w:cs="Arial"/>
              <w:sz w:val="22"/>
              <w:szCs w:val="22"/>
            </w:rPr>
            <w:id w:val="111145805"/>
            <w:bibliography/>
          </w:sdtPr>
          <w:sdtContent>
            <w:p w14:paraId="436FCD44" w14:textId="77777777" w:rsidR="00DC163B" w:rsidRDefault="0036733C" w:rsidP="00DC163B">
              <w:pPr>
                <w:pStyle w:val="Bibliografa"/>
                <w:ind w:left="720" w:hanging="720"/>
                <w:rPr>
                  <w:noProof/>
                  <w:kern w:val="0"/>
                  <w14:ligatures w14:val="none"/>
                </w:rPr>
              </w:pP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begin"/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instrText>BIBLIOGRAPHY</w:instrText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separate"/>
              </w:r>
              <w:r w:rsidR="00DC163B">
                <w:rPr>
                  <w:noProof/>
                </w:rPr>
                <w:t xml:space="preserve">Bekaert, G., &amp; Ang, A. (2003). How Do Regimes Affect Asset Allocation? </w:t>
              </w:r>
              <w:r w:rsidR="00DC163B">
                <w:rPr>
                  <w:i/>
                  <w:iCs/>
                  <w:noProof/>
                </w:rPr>
                <w:t>NATIONAL BUREAU of Economic Research</w:t>
              </w:r>
              <w:r w:rsidR="00DC163B">
                <w:rPr>
                  <w:noProof/>
                </w:rPr>
                <w:t>, 28. Retrieved from https://papers.ssrn.com/sol3/papers.cfm?abstract_id=467548</w:t>
              </w:r>
            </w:p>
            <w:p w14:paraId="33229381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Deutsche Bank. (2014, September 8). </w:t>
              </w:r>
              <w:r>
                <w:rPr>
                  <w:i/>
                  <w:iCs/>
                  <w:noProof/>
                </w:rPr>
                <w:t>Seven Sins of Quantitative Investing.</w:t>
              </w:r>
              <w:r>
                <w:rPr>
                  <w:noProof/>
                </w:rPr>
                <w:t xml:space="preserve"> Retrieved from Markets Research: https://hudsonthames.org/wp-content/uploads/2022/01/DB-201409-Seven_Sins_of_Quantitative_Investing.pdf</w:t>
              </w:r>
            </w:p>
            <w:p w14:paraId="5081819F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Koijen, R. S., Moskowitz, T. J., Heje, L., &amp; Vrugt, E. B. (2018). Carry.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197-225.</w:t>
              </w:r>
            </w:p>
            <w:p w14:paraId="13568EBA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Moskowitz, T. J., Hua, Y., &amp; Heje, L. (2012). Time series momentum.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228-250.</w:t>
              </w:r>
            </w:p>
            <w:p w14:paraId="7AAE2080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Varsani, H., &amp; Jain, V. (2018, October). </w:t>
              </w:r>
              <w:r>
                <w:rPr>
                  <w:i/>
                  <w:iCs/>
                  <w:noProof/>
                </w:rPr>
                <w:t>Adaptive Multifactor Allocation.</w:t>
              </w:r>
              <w:r>
                <w:rPr>
                  <w:noProof/>
                </w:rPr>
                <w:t xml:space="preserve"> Retrieved from https://www.msci.com/documents/10199/239004/Research_Insight_Adaptive_Multi-Factor_Allocation.pdf</w:t>
              </w:r>
            </w:p>
            <w:p w14:paraId="0521D1C7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Wang, P., &amp; Kochard, L. (2012). Using a Z-score Approach to Combine Value and Momentum in Tactical Asset Allocation. </w:t>
              </w:r>
              <w:r>
                <w:rPr>
                  <w:i/>
                  <w:iCs/>
                  <w:noProof/>
                </w:rPr>
                <w:t>The Journal of Wealth Management</w:t>
              </w:r>
              <w:r>
                <w:rPr>
                  <w:noProof/>
                </w:rPr>
                <w:t>, 52-71. doi:10.3905/jwm.2012.15.1.052</w:t>
              </w:r>
            </w:p>
            <w:p w14:paraId="1E021949" w14:textId="599195DD" w:rsidR="0036733C" w:rsidRPr="00102A20" w:rsidRDefault="0036733C" w:rsidP="00DC163B">
              <w:pPr>
                <w:spacing w:line="240" w:lineRule="auto"/>
                <w:rPr>
                  <w:rFonts w:ascii="Arial" w:hAnsi="Arial" w:cs="Arial"/>
                  <w:sz w:val="22"/>
                  <w:szCs w:val="22"/>
                </w:rPr>
              </w:pPr>
              <w:r w:rsidRPr="00102A20">
                <w:rPr>
                  <w:rFonts w:ascii="Arial" w:hAnsi="Arial" w:cs="Arial"/>
                  <w:b/>
                  <w:bCs/>
                  <w:sz w:val="22"/>
                  <w:szCs w:val="22"/>
                </w:rPr>
                <w:fldChar w:fldCharType="end"/>
              </w:r>
            </w:p>
          </w:sdtContent>
        </w:sdt>
      </w:sdtContent>
    </w:sdt>
    <w:p w14:paraId="08A14394" w14:textId="77777777" w:rsidR="003D38D7" w:rsidRPr="00102A20" w:rsidRDefault="003D38D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3D38D7" w:rsidRPr="00102A20" w:rsidSect="00C2496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51640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7121D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F5363B"/>
    <w:multiLevelType w:val="multilevel"/>
    <w:tmpl w:val="2654CA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D961E4"/>
    <w:multiLevelType w:val="hybridMultilevel"/>
    <w:tmpl w:val="380CB18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C2120"/>
    <w:multiLevelType w:val="hybridMultilevel"/>
    <w:tmpl w:val="1DB6167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A7094"/>
    <w:multiLevelType w:val="hybridMultilevel"/>
    <w:tmpl w:val="505AE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6BB5"/>
    <w:multiLevelType w:val="hybridMultilevel"/>
    <w:tmpl w:val="7706A7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D43FF"/>
    <w:multiLevelType w:val="hybridMultilevel"/>
    <w:tmpl w:val="86C836C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E6440"/>
    <w:multiLevelType w:val="hybridMultilevel"/>
    <w:tmpl w:val="60F4F2D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73A1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C6F26C8"/>
    <w:multiLevelType w:val="hybridMultilevel"/>
    <w:tmpl w:val="3D740332"/>
    <w:lvl w:ilvl="0" w:tplc="A68CC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796">
    <w:abstractNumId w:val="6"/>
  </w:num>
  <w:num w:numId="2" w16cid:durableId="729309319">
    <w:abstractNumId w:val="10"/>
  </w:num>
  <w:num w:numId="3" w16cid:durableId="1129739405">
    <w:abstractNumId w:val="3"/>
  </w:num>
  <w:num w:numId="4" w16cid:durableId="467822980">
    <w:abstractNumId w:val="7"/>
  </w:num>
  <w:num w:numId="5" w16cid:durableId="297339565">
    <w:abstractNumId w:val="4"/>
  </w:num>
  <w:num w:numId="6" w16cid:durableId="1896774375">
    <w:abstractNumId w:val="9"/>
  </w:num>
  <w:num w:numId="7" w16cid:durableId="968634758">
    <w:abstractNumId w:val="2"/>
  </w:num>
  <w:num w:numId="8" w16cid:durableId="1499076840">
    <w:abstractNumId w:val="5"/>
  </w:num>
  <w:num w:numId="9" w16cid:durableId="1451707940">
    <w:abstractNumId w:val="1"/>
  </w:num>
  <w:num w:numId="10" w16cid:durableId="1615331735">
    <w:abstractNumId w:val="8"/>
  </w:num>
  <w:num w:numId="11" w16cid:durableId="73493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FB"/>
    <w:rsid w:val="00005F12"/>
    <w:rsid w:val="00010120"/>
    <w:rsid w:val="00050ACB"/>
    <w:rsid w:val="00055B3A"/>
    <w:rsid w:val="000D642B"/>
    <w:rsid w:val="000F4010"/>
    <w:rsid w:val="00102A20"/>
    <w:rsid w:val="0010635F"/>
    <w:rsid w:val="001114BF"/>
    <w:rsid w:val="00113425"/>
    <w:rsid w:val="00137F20"/>
    <w:rsid w:val="00152AFE"/>
    <w:rsid w:val="001B2DEF"/>
    <w:rsid w:val="001C4389"/>
    <w:rsid w:val="001E3813"/>
    <w:rsid w:val="001E7215"/>
    <w:rsid w:val="001F5B25"/>
    <w:rsid w:val="002037DF"/>
    <w:rsid w:val="00215B40"/>
    <w:rsid w:val="00240C84"/>
    <w:rsid w:val="002432FB"/>
    <w:rsid w:val="00251DFA"/>
    <w:rsid w:val="002A6F0F"/>
    <w:rsid w:val="00331F57"/>
    <w:rsid w:val="0036733C"/>
    <w:rsid w:val="003B67ED"/>
    <w:rsid w:val="003D38D7"/>
    <w:rsid w:val="003E3C21"/>
    <w:rsid w:val="004110E0"/>
    <w:rsid w:val="00427756"/>
    <w:rsid w:val="00480F51"/>
    <w:rsid w:val="00487BC1"/>
    <w:rsid w:val="004A0AE6"/>
    <w:rsid w:val="004A1326"/>
    <w:rsid w:val="004E3218"/>
    <w:rsid w:val="004F47AC"/>
    <w:rsid w:val="00540F5D"/>
    <w:rsid w:val="005502E0"/>
    <w:rsid w:val="005A1CDC"/>
    <w:rsid w:val="00603912"/>
    <w:rsid w:val="00622037"/>
    <w:rsid w:val="006E4C59"/>
    <w:rsid w:val="006F2493"/>
    <w:rsid w:val="00700B04"/>
    <w:rsid w:val="00703088"/>
    <w:rsid w:val="00712D91"/>
    <w:rsid w:val="00714D50"/>
    <w:rsid w:val="0075150D"/>
    <w:rsid w:val="00761366"/>
    <w:rsid w:val="0079676F"/>
    <w:rsid w:val="007E0415"/>
    <w:rsid w:val="007E2483"/>
    <w:rsid w:val="007F5184"/>
    <w:rsid w:val="00807C9A"/>
    <w:rsid w:val="00815695"/>
    <w:rsid w:val="008227B7"/>
    <w:rsid w:val="00823EE2"/>
    <w:rsid w:val="00871C49"/>
    <w:rsid w:val="008A06BF"/>
    <w:rsid w:val="008B5177"/>
    <w:rsid w:val="008D69CF"/>
    <w:rsid w:val="008E424D"/>
    <w:rsid w:val="008F1A52"/>
    <w:rsid w:val="00924658"/>
    <w:rsid w:val="0093386A"/>
    <w:rsid w:val="0097553C"/>
    <w:rsid w:val="00A01B10"/>
    <w:rsid w:val="00A04D1A"/>
    <w:rsid w:val="00A74D16"/>
    <w:rsid w:val="00A7641E"/>
    <w:rsid w:val="00A85E59"/>
    <w:rsid w:val="00A9016C"/>
    <w:rsid w:val="00AD3960"/>
    <w:rsid w:val="00B042F5"/>
    <w:rsid w:val="00B1375C"/>
    <w:rsid w:val="00B34A3B"/>
    <w:rsid w:val="00B91E92"/>
    <w:rsid w:val="00C22685"/>
    <w:rsid w:val="00C24966"/>
    <w:rsid w:val="00C87D78"/>
    <w:rsid w:val="00C93DAC"/>
    <w:rsid w:val="00CB54F5"/>
    <w:rsid w:val="00D326D2"/>
    <w:rsid w:val="00DA14E9"/>
    <w:rsid w:val="00DC163B"/>
    <w:rsid w:val="00DC2C60"/>
    <w:rsid w:val="00DD0184"/>
    <w:rsid w:val="00E11AED"/>
    <w:rsid w:val="00E24BA9"/>
    <w:rsid w:val="00E60DDA"/>
    <w:rsid w:val="00E621FB"/>
    <w:rsid w:val="00E84D16"/>
    <w:rsid w:val="00EA054B"/>
    <w:rsid w:val="00EB2B23"/>
    <w:rsid w:val="00F24F3F"/>
    <w:rsid w:val="00F96D41"/>
    <w:rsid w:val="00FA1E07"/>
    <w:rsid w:val="00FD1602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3DF41"/>
  <w15:chartTrackingRefBased/>
  <w15:docId w15:val="{24D07AB1-EA68-4459-A520-F6D1FD72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6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1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1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1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1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1F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1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1F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1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1F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6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1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1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6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1F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62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1F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621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imac1">
    <w:name w:val="Rimac1"/>
    <w:basedOn w:val="Tablanormal"/>
    <w:uiPriority w:val="99"/>
    <w:rsid w:val="00A9016C"/>
    <w:pPr>
      <w:spacing w:after="0" w:line="240" w:lineRule="auto"/>
    </w:pPr>
    <w:rPr>
      <w:rFonts w:ascii="Arial" w:hAnsi="Arial"/>
      <w:sz w:val="22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single" w:sz="12" w:space="0" w:color="auto"/>
          <w:insideH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A901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a">
    <w:name w:val="Bibliography"/>
    <w:basedOn w:val="Normal"/>
    <w:next w:val="Normal"/>
    <w:uiPriority w:val="37"/>
    <w:unhideWhenUsed/>
    <w:rsid w:val="0036733C"/>
  </w:style>
  <w:style w:type="paragraph" w:customStyle="1" w:styleId="font-claude-response-body">
    <w:name w:val="font-claude-response-body"/>
    <w:basedOn w:val="Normal"/>
    <w:rsid w:val="0010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23E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EE2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F24F3F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0"/>
      <w:szCs w:val="22"/>
      <w14:ligatures w14:val="none"/>
    </w:rPr>
  </w:style>
  <w:style w:type="table" w:styleId="Cuadrculaclara-nfasis1">
    <w:name w:val="Light Grid Accent 1"/>
    <w:basedOn w:val="Tablanormal"/>
    <w:uiPriority w:val="62"/>
    <w:rsid w:val="00F24F3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ackrock.com/institutions/en-apac/insights/thought-leadership/blackrock-investment-institute/interactive-charts/geopolitical-risk-dash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Bek03</b:Tag>
    <b:SourceType>JournalArticle</b:SourceType>
    <b:Guid>{163C3557-D1AF-4535-B73B-DA7C0F95B0AA}</b:Guid>
    <b:Title>How Do Regimes Affect Asset Allocation?</b:Title>
    <b:Year>2003</b:Year>
    <b:JournalName>NATIONAL BUREAU of Economic Research</b:JournalName>
    <b:Pages>28</b:Pages>
    <b:Author>
      <b:Author>
        <b:NameList>
          <b:Person>
            <b:Last>Bekaert</b:Last>
            <b:First>Geert</b:First>
          </b:Person>
          <b:Person>
            <b:Last>Ang</b:Last>
            <b:First>Andrew</b:First>
          </b:Person>
        </b:NameList>
      </b:Author>
    </b:Author>
    <b:LCID>en-US</b:LCID>
    <b:URL>https://papers.ssrn.com/sol3/papers.cfm?abstract_id=467548</b:URL>
    <b:RefOrder>1</b:RefOrder>
  </b:Source>
  <b:Source>
    <b:Tag>Mos12</b:Tag>
    <b:SourceType>JournalArticle</b:SourceType>
    <b:Guid>{CE68EB3C-27C8-44AA-A912-BCD6592BD5A3}</b:Guid>
    <b:Title>Time series momentum</b:Title>
    <b:JournalName>Journal of Financial Economics</b:JournalName>
    <b:Year>2012</b:Year>
    <b:Pages>228-250</b:Pages>
    <b:Author>
      <b:Author>
        <b:NameList>
          <b:Person>
            <b:Last>Moskowitz</b:Last>
            <b:Middle>J.</b:Middle>
            <b:First>Tobias</b:First>
          </b:Person>
          <b:Person>
            <b:Last>Hua</b:Last>
            <b:First>Yao</b:First>
          </b:Person>
          <b:Person>
            <b:Last>Heje</b:Last>
            <b:First>Lasse</b:First>
          </b:Person>
        </b:NameList>
      </b:Author>
    </b:Author>
    <b:LCID>en-US</b:LCID>
    <b:RefOrder>2</b:RefOrder>
  </b:Source>
  <b:Source>
    <b:Tag>Koi18</b:Tag>
    <b:SourceType>JournalArticle</b:SourceType>
    <b:Guid>{EE1AFCA5-FA64-4A0F-AAE0-8FE3336C3956}</b:Guid>
    <b:Title>Carry</b:Title>
    <b:JournalName>Journal of Financial Economics</b:JournalName>
    <b:Year>2018</b:Year>
    <b:Pages>197-225</b:Pages>
    <b:Author>
      <b:Author>
        <b:NameList>
          <b:Person>
            <b:Last>Koijen</b:Last>
            <b:First>Ralph</b:First>
            <b:Middle>S.J.</b:Middle>
          </b:Person>
          <b:Person>
            <b:Last>Moskowitz</b:Last>
            <b:First>Tobias</b:First>
            <b:Middle>J.</b:Middle>
          </b:Person>
          <b:Person>
            <b:Last>Heje</b:Last>
            <b:First>Lasse</b:First>
          </b:Person>
          <b:Person>
            <b:Last>Vrugt</b:Last>
            <b:First>Evert</b:First>
            <b:Middle>B.</b:Middle>
          </b:Person>
        </b:NameList>
      </b:Author>
    </b:Author>
    <b:LCID>en-US</b:LCID>
    <b:RefOrder>3</b:RefOrder>
  </b:Source>
  <b:Source>
    <b:Tag>Wan12</b:Tag>
    <b:SourceType>JournalArticle</b:SourceType>
    <b:Guid>{404A621F-0E72-450B-BD17-03F1F586EC2A}</b:Guid>
    <b:Title>Using a Z-score Approach to Combine Value and Momentum in Tactical Asset Allocation</b:Title>
    <b:JournalName>The Journal of Wealth Management</b:JournalName>
    <b:Year>2012</b:Year>
    <b:Pages>52-71</b:Pages>
    <b:Author>
      <b:Author>
        <b:NameList>
          <b:Person>
            <b:Last>Wang</b:Last>
            <b:First>Peng</b:First>
          </b:Person>
          <b:Person>
            <b:Last>Kochard</b:Last>
            <b:First>Larry</b:First>
          </b:Person>
        </b:NameList>
      </b:Author>
    </b:Author>
    <b:URL>https://www.pm-research.com/content/iijwealthmgmt/15/1/52</b:URL>
    <b:DOI>10.3905/jwm.2012.15.1.052</b:DOI>
    <b:RefOrder>4</b:RefOrder>
  </b:Source>
  <b:Source>
    <b:Tag>Var18</b:Tag>
    <b:SourceType>DocumentFromInternetSite</b:SourceType>
    <b:Guid>{DF838FA2-C4C6-4BA1-A17E-F17FB7B6BF29}</b:Guid>
    <b:LCID>en-US</b:LCID>
    <b:Title>Adaptive Multifactor Allocation</b:Title>
    <b:Year>2018</b:Year>
    <b:Month>October</b:Month>
    <b:URL>https://www.msci.com/documents/10199/239004/Research_Insight_Adaptive_Multi-Factor_Allocation.pdf</b:URL>
    <b:Author>
      <b:Author>
        <b:NameList>
          <b:Person>
            <b:Last>Varsani</b:Last>
            <b:First>Hitendra</b:First>
          </b:Person>
          <b:Person>
            <b:Last>Jain</b:Last>
            <b:First>Vipul</b:First>
          </b:Person>
        </b:NameList>
      </b:Author>
    </b:Author>
    <b:RefOrder>5</b:RefOrder>
  </b:Source>
  <b:Source>
    <b:Tag>Deu14</b:Tag>
    <b:SourceType>DocumentFromInternetSite</b:SourceType>
    <b:Guid>{E5564A67-DD51-4B41-9961-E1B274BDC2C6}</b:Guid>
    <b:Title>Seven Sins of Quantitative Investing</b:Title>
    <b:InternetSiteTitle>Markets Research</b:InternetSiteTitle>
    <b:Year>2014</b:Year>
    <b:Month>September</b:Month>
    <b:Day>8</b:Day>
    <b:URL>https://hudsonthames.org/wp-content/uploads/2022/01/DB-201409-Seven_Sins_of_Quantitative_Investing.pdf</b:URL>
    <b:Author>
      <b:Author>
        <b:Corporate>Deutsche Bank</b:Corporate>
      </b:Author>
    </b:Author>
    <b:LCID>en-US</b:LCID>
    <b:RefOrder>6</b:RefOrder>
  </b:Source>
</b:Sources>
</file>

<file path=customXml/itemProps1.xml><?xml version="1.0" encoding="utf-8"?>
<ds:datastoreItem xmlns:ds="http://schemas.openxmlformats.org/officeDocument/2006/customXml" ds:itemID="{28A5D37E-BF23-4CF5-8E5D-C558DCC86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</TotalTime>
  <Pages>9</Pages>
  <Words>1421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87</cp:revision>
  <dcterms:created xsi:type="dcterms:W3CDTF">2026-03-31T16:23:00Z</dcterms:created>
  <dcterms:modified xsi:type="dcterms:W3CDTF">2026-05-07T23:41:00Z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50e5a-0c73-42b6-9904-8fbc82663c0a_Enabled">
    <vt:lpwstr>true</vt:lpwstr>
  </property>
  <property fmtid="{D5CDD505-2E9C-101B-9397-08002B2CF9AE}" pid="3" name="MSIP_Label_76550e5a-0c73-42b6-9904-8fbc82663c0a_SetDate">
    <vt:lpwstr>2026-03-31T16:31:19Z</vt:lpwstr>
  </property>
  <property fmtid="{D5CDD505-2E9C-101B-9397-08002B2CF9AE}" pid="4" name="MSIP_Label_76550e5a-0c73-42b6-9904-8fbc82663c0a_Method">
    <vt:lpwstr>Standard</vt:lpwstr>
  </property>
  <property fmtid="{D5CDD505-2E9C-101B-9397-08002B2CF9AE}" pid="5" name="MSIP_Label_76550e5a-0c73-42b6-9904-8fbc82663c0a_Name">
    <vt:lpwstr>Uso Interno</vt:lpwstr>
  </property>
  <property fmtid="{D5CDD505-2E9C-101B-9397-08002B2CF9AE}" pid="6" name="MSIP_Label_76550e5a-0c73-42b6-9904-8fbc82663c0a_SiteId">
    <vt:lpwstr>1682654c-afff-4760-8e95-b9d57482d7d0</vt:lpwstr>
  </property>
  <property fmtid="{D5CDD505-2E9C-101B-9397-08002B2CF9AE}" pid="7" name="MSIP_Label_76550e5a-0c73-42b6-9904-8fbc82663c0a_ActionId">
    <vt:lpwstr>f61a21a9-9204-43c4-858b-d71099cd317c</vt:lpwstr>
  </property>
  <property fmtid="{D5CDD505-2E9C-101B-9397-08002B2CF9AE}" pid="8" name="MSIP_Label_76550e5a-0c73-42b6-9904-8fbc82663c0a_ContentBits">
    <vt:lpwstr>0</vt:lpwstr>
  </property>
  <property fmtid="{D5CDD505-2E9C-101B-9397-08002B2CF9AE}" pid="9" name="MSIP_Label_76550e5a-0c73-42b6-9904-8fbc82663c0a_Tag">
    <vt:lpwstr>10, 3, 0, 1</vt:lpwstr>
  </property>
</Properties>
</file>