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FA5242">
        <w:rPr>
          <w:rFonts w:ascii="Arial" w:hAnsi="Arial" w:cs="Arial"/>
          <w:sz w:val="28"/>
          <w:szCs w:val="28"/>
          <w:lang w:val="pt-BR"/>
        </w:rPr>
        <w:t>Tema :</w:t>
      </w:r>
      <w:proofErr w:type="gramEnd"/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sz w:val="28"/>
          <w:szCs w:val="28"/>
          <w:lang w:val="pt-BR"/>
        </w:rPr>
      </w:pPr>
      <w:r w:rsidRPr="00FA5242">
        <w:rPr>
          <w:rFonts w:ascii="Arial" w:hAnsi="Arial" w:cs="Arial"/>
          <w:b w:val="0"/>
          <w:lang w:val="pt-BR"/>
        </w:rPr>
        <w:t>Segurança da Informação</w:t>
      </w: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lang w:val="pt-BR"/>
        </w:rPr>
      </w:pP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sz w:val="28"/>
          <w:szCs w:val="28"/>
          <w:lang w:val="pt-BR"/>
        </w:rPr>
      </w:pPr>
      <w:r w:rsidRPr="00FA5242">
        <w:rPr>
          <w:rFonts w:ascii="Arial" w:hAnsi="Arial" w:cs="Arial"/>
          <w:sz w:val="28"/>
          <w:szCs w:val="28"/>
          <w:lang w:val="pt-BR"/>
        </w:rPr>
        <w:t>Delimitação do Tema:</w:t>
      </w: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FA5242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Ações Preventivas e Corretivas para enfrentamento de Ataques por Ransomware.</w:t>
      </w: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:rsid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FA5242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Definição Ransomware – </w:t>
      </w:r>
    </w:p>
    <w:p w:rsidR="005A45E5" w:rsidRDefault="005A45E5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:rsidR="005A45E5" w:rsidRDefault="005A45E5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color w:val="000000" w:themeColor="text1"/>
          <w:spacing w:val="3"/>
          <w:sz w:val="28"/>
          <w:szCs w:val="28"/>
        </w:rPr>
        <w:t>Tipos de Ransomware</w:t>
      </w:r>
    </w:p>
    <w:p w:rsidR="005A45E5" w:rsidRPr="005A45E5" w:rsidRDefault="005A45E5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5A45E5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Ransomware Locker</w:t>
      </w:r>
      <w:bookmarkStart w:id="0" w:name="_GoBack"/>
      <w:bookmarkEnd w:id="0"/>
    </w:p>
    <w:p w:rsidR="005A45E5" w:rsidRPr="005A45E5" w:rsidRDefault="005A45E5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5A45E5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Ranasomware Crypto</w:t>
      </w: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:rsidR="007E07DD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FA5242">
        <w:rPr>
          <w:rFonts w:ascii="Arial" w:hAnsi="Arial" w:cs="Arial"/>
          <w:color w:val="000000" w:themeColor="text1"/>
          <w:spacing w:val="3"/>
          <w:sz w:val="28"/>
          <w:szCs w:val="28"/>
        </w:rPr>
        <w:t>Ações Preventivas</w:t>
      </w:r>
    </w:p>
    <w:p w:rsid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FA5242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Conscientização e Treinamento de Usuários</w:t>
      </w: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;</w:t>
      </w:r>
    </w:p>
    <w:p w:rsid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Atualização de Softwares (Firewall, Antimalware)</w:t>
      </w:r>
      <w:r w:rsidR="00607CDF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;</w:t>
      </w:r>
    </w:p>
    <w:p w:rsidR="00607CDF" w:rsidRDefault="00607CDF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Controle de Acesso;</w:t>
      </w:r>
    </w:p>
    <w:p w:rsidR="00607CDF" w:rsidRPr="00FA5242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Back up Periódico.</w:t>
      </w:r>
    </w:p>
    <w:p w:rsidR="00FA5242" w:rsidRP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</w:p>
    <w:p w:rsidR="00FA5242" w:rsidRDefault="00FA5242" w:rsidP="00FA5242">
      <w:pPr>
        <w:pStyle w:val="Ttulo1"/>
        <w:spacing w:before="63"/>
        <w:ind w:right="135"/>
        <w:jc w:val="both"/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FA5242">
        <w:rPr>
          <w:rFonts w:ascii="Arial" w:hAnsi="Arial" w:cs="Arial"/>
          <w:color w:val="000000" w:themeColor="text1"/>
          <w:spacing w:val="3"/>
          <w:sz w:val="28"/>
          <w:szCs w:val="28"/>
        </w:rPr>
        <w:t>Ações Corretivas</w:t>
      </w:r>
    </w:p>
    <w:p w:rsidR="007E07DD" w:rsidRPr="007E07DD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7E07DD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Identificação e Isolamento (Equipamentos);</w:t>
      </w:r>
    </w:p>
    <w:p w:rsidR="007E07DD" w:rsidRPr="007E07DD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z w:val="28"/>
          <w:szCs w:val="28"/>
          <w:lang w:val="pt-BR"/>
        </w:rPr>
      </w:pPr>
      <w:r w:rsidRPr="007E07DD">
        <w:rPr>
          <w:rFonts w:ascii="Arial" w:hAnsi="Arial" w:cs="Arial"/>
          <w:b w:val="0"/>
          <w:color w:val="000000" w:themeColor="text1"/>
          <w:sz w:val="28"/>
          <w:szCs w:val="28"/>
          <w:lang w:val="pt-BR"/>
        </w:rPr>
        <w:t>Análise de Vulnerabilidades;</w:t>
      </w:r>
    </w:p>
    <w:p w:rsidR="007E07DD" w:rsidRPr="007E07DD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z w:val="28"/>
          <w:szCs w:val="28"/>
          <w:lang w:val="pt-BR"/>
        </w:rPr>
      </w:pPr>
      <w:r w:rsidRPr="007E07DD">
        <w:rPr>
          <w:rFonts w:ascii="Arial" w:hAnsi="Arial" w:cs="Arial"/>
          <w:b w:val="0"/>
          <w:color w:val="000000" w:themeColor="text1"/>
          <w:sz w:val="28"/>
          <w:szCs w:val="28"/>
          <w:lang w:val="pt-BR"/>
        </w:rPr>
        <w:t>Ferramentas de Recuperação de Arquivos Deletados;</w:t>
      </w:r>
    </w:p>
    <w:p w:rsidR="007E07DD" w:rsidRDefault="007E07DD" w:rsidP="007E07DD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 w:rsidRPr="007E07DD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Back up Periódico.</w:t>
      </w:r>
    </w:p>
    <w:p w:rsidR="007E07DD" w:rsidRPr="007E07DD" w:rsidRDefault="007E07DD" w:rsidP="007E07DD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 xml:space="preserve">Pagamento de Resgate (medida de desespero </w:t>
      </w:r>
      <w:r w:rsidR="005812AA"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que não garante a devolução da</w:t>
      </w:r>
      <w:r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  <w:t>s informações).</w:t>
      </w:r>
    </w:p>
    <w:p w:rsidR="007E07DD" w:rsidRPr="007E07DD" w:rsidRDefault="007E07DD" w:rsidP="007E07DD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pacing w:val="3"/>
          <w:sz w:val="28"/>
          <w:szCs w:val="28"/>
        </w:rPr>
      </w:pPr>
    </w:p>
    <w:p w:rsidR="007E07DD" w:rsidRPr="007E07DD" w:rsidRDefault="007E07DD" w:rsidP="00FA5242">
      <w:pPr>
        <w:pStyle w:val="Ttulo1"/>
        <w:spacing w:before="63"/>
        <w:ind w:right="135"/>
        <w:jc w:val="both"/>
        <w:rPr>
          <w:rFonts w:ascii="Arial" w:hAnsi="Arial" w:cs="Arial"/>
          <w:b w:val="0"/>
          <w:color w:val="000000" w:themeColor="text1"/>
          <w:sz w:val="28"/>
          <w:szCs w:val="28"/>
          <w:lang w:val="pt-BR"/>
        </w:rPr>
      </w:pPr>
    </w:p>
    <w:sectPr w:rsidR="007E07DD" w:rsidRPr="007E07DD">
      <w:pgSz w:w="11910" w:h="16840"/>
      <w:pgMar w:top="120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45765"/>
    <w:multiLevelType w:val="hybridMultilevel"/>
    <w:tmpl w:val="27B013FA"/>
    <w:lvl w:ilvl="0" w:tplc="C8B2E1C8">
      <w:start w:val="1"/>
      <w:numFmt w:val="decimalZero"/>
      <w:lvlText w:val="%1."/>
      <w:lvlJc w:val="left"/>
      <w:pPr>
        <w:ind w:left="505" w:hanging="39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pt-PT" w:eastAsia="en-US" w:bidi="ar-SA"/>
      </w:rPr>
    </w:lvl>
    <w:lvl w:ilvl="1" w:tplc="633417D4">
      <w:start w:val="1"/>
      <w:numFmt w:val="upperLetter"/>
      <w:lvlText w:val="%2."/>
      <w:lvlJc w:val="left"/>
      <w:pPr>
        <w:ind w:left="717" w:hanging="31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6"/>
        <w:szCs w:val="26"/>
        <w:lang w:val="pt-PT" w:eastAsia="en-US" w:bidi="ar-SA"/>
      </w:rPr>
    </w:lvl>
    <w:lvl w:ilvl="2" w:tplc="9B824324">
      <w:numFmt w:val="bullet"/>
      <w:lvlText w:val="•"/>
      <w:lvlJc w:val="left"/>
      <w:pPr>
        <w:ind w:left="1889" w:hanging="318"/>
      </w:pPr>
      <w:rPr>
        <w:rFonts w:hint="default"/>
        <w:lang w:val="pt-PT" w:eastAsia="en-US" w:bidi="ar-SA"/>
      </w:rPr>
    </w:lvl>
    <w:lvl w:ilvl="3" w:tplc="2774F920">
      <w:numFmt w:val="bullet"/>
      <w:lvlText w:val="•"/>
      <w:lvlJc w:val="left"/>
      <w:pPr>
        <w:ind w:left="3059" w:hanging="318"/>
      </w:pPr>
      <w:rPr>
        <w:rFonts w:hint="default"/>
        <w:lang w:val="pt-PT" w:eastAsia="en-US" w:bidi="ar-SA"/>
      </w:rPr>
    </w:lvl>
    <w:lvl w:ilvl="4" w:tplc="E7009F7C">
      <w:numFmt w:val="bullet"/>
      <w:lvlText w:val="•"/>
      <w:lvlJc w:val="left"/>
      <w:pPr>
        <w:ind w:left="4228" w:hanging="318"/>
      </w:pPr>
      <w:rPr>
        <w:rFonts w:hint="default"/>
        <w:lang w:val="pt-PT" w:eastAsia="en-US" w:bidi="ar-SA"/>
      </w:rPr>
    </w:lvl>
    <w:lvl w:ilvl="5" w:tplc="D0969C10">
      <w:numFmt w:val="bullet"/>
      <w:lvlText w:val="•"/>
      <w:lvlJc w:val="left"/>
      <w:pPr>
        <w:ind w:left="5398" w:hanging="318"/>
      </w:pPr>
      <w:rPr>
        <w:rFonts w:hint="default"/>
        <w:lang w:val="pt-PT" w:eastAsia="en-US" w:bidi="ar-SA"/>
      </w:rPr>
    </w:lvl>
    <w:lvl w:ilvl="6" w:tplc="7CECF39E">
      <w:numFmt w:val="bullet"/>
      <w:lvlText w:val="•"/>
      <w:lvlJc w:val="left"/>
      <w:pPr>
        <w:ind w:left="6567" w:hanging="318"/>
      </w:pPr>
      <w:rPr>
        <w:rFonts w:hint="default"/>
        <w:lang w:val="pt-PT" w:eastAsia="en-US" w:bidi="ar-SA"/>
      </w:rPr>
    </w:lvl>
    <w:lvl w:ilvl="7" w:tplc="A53C5700">
      <w:numFmt w:val="bullet"/>
      <w:lvlText w:val="•"/>
      <w:lvlJc w:val="left"/>
      <w:pPr>
        <w:ind w:left="7737" w:hanging="318"/>
      </w:pPr>
      <w:rPr>
        <w:rFonts w:hint="default"/>
        <w:lang w:val="pt-PT" w:eastAsia="en-US" w:bidi="ar-SA"/>
      </w:rPr>
    </w:lvl>
    <w:lvl w:ilvl="8" w:tplc="FF18F99E">
      <w:numFmt w:val="bullet"/>
      <w:lvlText w:val="•"/>
      <w:lvlJc w:val="left"/>
      <w:pPr>
        <w:ind w:left="8906" w:hanging="318"/>
      </w:pPr>
      <w:rPr>
        <w:rFonts w:hint="default"/>
        <w:lang w:val="pt-PT" w:eastAsia="en-US" w:bidi="ar-SA"/>
      </w:rPr>
    </w:lvl>
  </w:abstractNum>
  <w:abstractNum w:abstractNumId="1">
    <w:nsid w:val="54162610"/>
    <w:multiLevelType w:val="hybridMultilevel"/>
    <w:tmpl w:val="E5C2E736"/>
    <w:lvl w:ilvl="0" w:tplc="B30EB3B0">
      <w:start w:val="10"/>
      <w:numFmt w:val="decimal"/>
      <w:lvlText w:val="%1."/>
      <w:lvlJc w:val="left"/>
      <w:pPr>
        <w:ind w:left="505" w:hanging="39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pt-PT" w:eastAsia="en-US" w:bidi="ar-SA"/>
      </w:rPr>
    </w:lvl>
    <w:lvl w:ilvl="1" w:tplc="E2021786">
      <w:numFmt w:val="bullet"/>
      <w:lvlText w:val="•"/>
      <w:lvlJc w:val="left"/>
      <w:pPr>
        <w:ind w:left="1574" w:hanging="390"/>
      </w:pPr>
      <w:rPr>
        <w:rFonts w:hint="default"/>
        <w:lang w:val="pt-PT" w:eastAsia="en-US" w:bidi="ar-SA"/>
      </w:rPr>
    </w:lvl>
    <w:lvl w:ilvl="2" w:tplc="D6F40B08">
      <w:numFmt w:val="bullet"/>
      <w:lvlText w:val="•"/>
      <w:lvlJc w:val="left"/>
      <w:pPr>
        <w:ind w:left="2649" w:hanging="390"/>
      </w:pPr>
      <w:rPr>
        <w:rFonts w:hint="default"/>
        <w:lang w:val="pt-PT" w:eastAsia="en-US" w:bidi="ar-SA"/>
      </w:rPr>
    </w:lvl>
    <w:lvl w:ilvl="3" w:tplc="9BF81D5C">
      <w:numFmt w:val="bullet"/>
      <w:lvlText w:val="•"/>
      <w:lvlJc w:val="left"/>
      <w:pPr>
        <w:ind w:left="3723" w:hanging="390"/>
      </w:pPr>
      <w:rPr>
        <w:rFonts w:hint="default"/>
        <w:lang w:val="pt-PT" w:eastAsia="en-US" w:bidi="ar-SA"/>
      </w:rPr>
    </w:lvl>
    <w:lvl w:ilvl="4" w:tplc="B1EE7DD6">
      <w:numFmt w:val="bullet"/>
      <w:lvlText w:val="•"/>
      <w:lvlJc w:val="left"/>
      <w:pPr>
        <w:ind w:left="4798" w:hanging="390"/>
      </w:pPr>
      <w:rPr>
        <w:rFonts w:hint="default"/>
        <w:lang w:val="pt-PT" w:eastAsia="en-US" w:bidi="ar-SA"/>
      </w:rPr>
    </w:lvl>
    <w:lvl w:ilvl="5" w:tplc="ECD2B9EC">
      <w:numFmt w:val="bullet"/>
      <w:lvlText w:val="•"/>
      <w:lvlJc w:val="left"/>
      <w:pPr>
        <w:ind w:left="5873" w:hanging="390"/>
      </w:pPr>
      <w:rPr>
        <w:rFonts w:hint="default"/>
        <w:lang w:val="pt-PT" w:eastAsia="en-US" w:bidi="ar-SA"/>
      </w:rPr>
    </w:lvl>
    <w:lvl w:ilvl="6" w:tplc="0AA24EF8">
      <w:numFmt w:val="bullet"/>
      <w:lvlText w:val="•"/>
      <w:lvlJc w:val="left"/>
      <w:pPr>
        <w:ind w:left="6947" w:hanging="390"/>
      </w:pPr>
      <w:rPr>
        <w:rFonts w:hint="default"/>
        <w:lang w:val="pt-PT" w:eastAsia="en-US" w:bidi="ar-SA"/>
      </w:rPr>
    </w:lvl>
    <w:lvl w:ilvl="7" w:tplc="1244001C">
      <w:numFmt w:val="bullet"/>
      <w:lvlText w:val="•"/>
      <w:lvlJc w:val="left"/>
      <w:pPr>
        <w:ind w:left="8022" w:hanging="390"/>
      </w:pPr>
      <w:rPr>
        <w:rFonts w:hint="default"/>
        <w:lang w:val="pt-PT" w:eastAsia="en-US" w:bidi="ar-SA"/>
      </w:rPr>
    </w:lvl>
    <w:lvl w:ilvl="8" w:tplc="74D690B2">
      <w:numFmt w:val="bullet"/>
      <w:lvlText w:val="•"/>
      <w:lvlJc w:val="left"/>
      <w:pPr>
        <w:ind w:left="9096" w:hanging="39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DF"/>
    <w:rsid w:val="000813DC"/>
    <w:rsid w:val="000C329D"/>
    <w:rsid w:val="00126C88"/>
    <w:rsid w:val="001C30B7"/>
    <w:rsid w:val="002410DF"/>
    <w:rsid w:val="00460302"/>
    <w:rsid w:val="005812AA"/>
    <w:rsid w:val="005A45E5"/>
    <w:rsid w:val="00607CDF"/>
    <w:rsid w:val="007E07DD"/>
    <w:rsid w:val="008618D3"/>
    <w:rsid w:val="00966D0A"/>
    <w:rsid w:val="009C7C4F"/>
    <w:rsid w:val="00A12324"/>
    <w:rsid w:val="00A50111"/>
    <w:rsid w:val="00C83349"/>
    <w:rsid w:val="00CB46AC"/>
    <w:rsid w:val="00CC1CD7"/>
    <w:rsid w:val="00D80586"/>
    <w:rsid w:val="00DE3916"/>
    <w:rsid w:val="00EA203A"/>
    <w:rsid w:val="00EB4015"/>
    <w:rsid w:val="00ED6AFA"/>
    <w:rsid w:val="00EF5DDC"/>
    <w:rsid w:val="00F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3AF0E-6152-43A4-A27C-38910ECB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149"/>
      <w:ind w:right="130"/>
      <w:jc w:val="right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UFRN - CENTRO DE TECNOLOGIA - DEPARTAMENTO DE ENGENHARIA ELÉTRICA</vt:lpstr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UFRN - CENTRO DE TECNOLOGIA - DEPARTAMENTO DE ENGENHARIA ELÉTRICA</dc:title>
  <dc:creator>Pablo Javier Alsina</dc:creator>
  <cp:lastModifiedBy>novo</cp:lastModifiedBy>
  <cp:revision>22</cp:revision>
  <dcterms:created xsi:type="dcterms:W3CDTF">2023-11-10T21:51:00Z</dcterms:created>
  <dcterms:modified xsi:type="dcterms:W3CDTF">2024-03-22T01:20:00Z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2023-10-31T00:00:00Z</vt:filetime>
  </property>
</Properties>
</file>