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Standard Operating Procedure: Feed Line Startup</w:t>
      </w:r>
    </w:p>
    <w:p>
      <w:r>
        <w:t>1. Confirm pump T-101 reaches operating pressure before opening V-101.</w:t>
      </w:r>
    </w:p>
    <w:p>
      <w:r>
        <w:t>2. Open valve V-101 slowly to begin flow to pump P-101.</w:t>
      </w:r>
    </w:p>
    <w:p>
      <w:r>
        <w:t>3. P-101 connects to V-101 downstream of the tank discharge.</w:t>
      </w:r>
    </w:p>
    <w:p>
      <w:r>
        <w:t>4. Flow transmitter FT-101 monitors line flow rate after V-101.</w:t>
      </w:r>
    </w:p>
    <w:p>
      <w:r>
        <w:t>5. T-101 connects to FT-101 for high-level interlock cross-check.</w:t>
      </w:r>
    </w:p>
    <w:p>
      <w:r>
        <w:t>6. PSV-201 safety valve must be inspected monthly per code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