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D38"/>
          <w:sz w:val="28"/>
          <w:szCs w:val="28"/>
        </w:rPr>
        <w:t xml:space="preserve">AgriVision</w:t>
      </w:r>
    </w:p>
    <w:p>
      <w:pPr>
        <w:spacing w:after="60"/>
      </w:pPr>
      <w:r>
        <w:rPr>
          <w:b/>
          <w:bCs/>
          <w:color w:val="1A1F1C"/>
          <w:sz w:val="48"/>
          <w:szCs w:val="48"/>
        </w:rPr>
        <w:t xml:space="preserve">Plant Image Disease Detection</w:t>
      </w:r>
    </w:p>
    <w:p>
      <w:pPr>
        <w:spacing w:after="120"/>
      </w:pPr>
      <w:r>
        <w:rPr>
          <w:i/>
          <w:iCs/>
          <w:color w:val="5A6B60"/>
          <w:sz w:val="24"/>
          <w:szCs w:val="24"/>
        </w:rPr>
        <w:t xml:space="preserve">Module design, computer-vision engine, and deep-learning integration</w:t>
      </w:r>
    </w:p>
    <w:p>
      <w:pPr>
        <w:pBdr>
          <w:bottom w:val="single" w:color="1F4D38" w:sz="8" w:space="4"/>
        </w:pBdr>
        <w:spacing w:after="240"/>
      </w:pPr>
      <w:r>
        <w:rPr>
          <w:sz w:val="2"/>
          <w:szCs w:val="2"/>
        </w:rPr>
        <w:t xml:space="preserve"/>
      </w:r>
    </w:p>
    <w:p>
      <w:pPr>
        <w:spacing w:after="80"/>
      </w:pPr>
      <w:r>
        <w:rPr>
          <w:b/>
          <w:bCs/>
          <w:color w:val="1F4D38"/>
          <w:sz w:val="24"/>
          <w:szCs w:val="2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Overview</w:t>
      </w:r>
    </w:p>
    <w:p>
      <w:pPr>
        <w:spacing w:after="120"/>
      </w:pPr>
      <w:r>
        <w:t xml:space="preserve">The Plant Image Disease Detection module lets a user take a photo of a plant leaf with the device camera, or upload one from the gallery, and returns the most likely problem together with a farmer-readable solution: symptoms, likely causes, treatment options (grouped as cultural, organic, chemical and monitoring), and prevention tips.</w:t>
      </w:r>
    </w:p>
    <w:p>
      <w:pPr>
        <w:spacing w:after="120"/>
      </w:pPr>
      <w:r>
        <w:t xml:space="preserve">It is built to run in two modes: a </w:t>
      </w:r>
      <w:r>
        <w:rPr>
          <w:b/>
          <w:bCs/>
        </w:rPr>
        <w:t xml:space="preserve">default computer-vision heuristic</w:t>
      </w:r>
      <w:r>
        <w:t xml:space="preserve"> that works fully offline, and an optional </w:t>
      </w:r>
      <w:r>
        <w:rPr>
          <w:b/>
          <w:bCs/>
        </w:rPr>
        <w:t xml:space="preserve">deep-learning model</w:t>
      </w:r>
      <w:r>
        <w:t xml:space="preserve"> that can be plugged in for higher precision. This document describes both, and explains exactly where deep learning is used.</w:t>
      </w:r>
    </w:p>
    <w:tbl>
      <w:tblPr>
        <w:tblW w:type="dxa" w:w="9026"/>
        <w:tblBorders>
          <w:top w:val="single" w:color="E0B84A" w:sz="4"/>
          <w:left w:val="single" w:color="E0B84A" w:sz="18"/>
          <w:bottom w:val="single" w:color="E0B84A" w:sz="4"/>
          <w:right w:val="single" w:color="E0B84A" w:sz="4"/>
          <w:insideH w:val="none"/>
          <w:insideV w:val="none"/>
        </w:tblBorders>
        <w:tblLayout w:type="fixed"/>
      </w:tblPr>
      <w:tblGrid>
        <w:gridCol w:w="9026"/>
      </w:tblGrid>
      <w:tr>
        <w:tc>
          <w:tcPr>
            <w:tcW w:type="dxa" w:w="9026"/>
            <w:shd w:fill="FCF6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8A6D1A"/>
              </w:rPr>
              <w:t xml:space="preserve">Important — what is active by default. </w:t>
            </w:r>
            <w:r>
              <w:t xml:space="preserve">Out of the box the module uses the deterministic computer-vision heuristic (Section 4). Deep learning is wired in as a ready-to-use integration point (Section 5) but is only active when a trained model file is supplied. No labelled dataset is bundled and no accuracy figure is claimed for the default build — see Section 5.5 for where a dataset and accuracy belong.</w:t>
            </w:r>
          </w:p>
        </w:tc>
      </w:tr>
    </w:tbl>
    <w:p>
      <w:pPr>
        <w:pStyle w:val="Heading1"/>
        <w:spacing w:after="120" w:before="240"/>
      </w:pPr>
      <w:r>
        <w:t xml:space="preserve">2. How It Works (Data Flow)</w:t>
      </w:r>
    </w:p>
    <w:p>
      <w:pPr>
        <w:spacing w:after="120"/>
      </w:pPr>
      <w:r>
        <w:t xml:space="preserve">The end-to-end flow from the phone to the backend and back: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The Flutter app captures a photo (camera or gallery) and resizes it on-device to at most 1600 px.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The photo is sent as a multipart HTTP POST to /api/disease/identify.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The Flask route hands it to DiseaseService, which calls DiseaseDetector.detect().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The detector decodes the image (OpenCV) and extracts colour/lesion features.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If a deep-learning model is configured, it is used for the prediction; otherwise the heuristic rules classify the leaf.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The predicted condition is looked up in the knowledge base for symptoms, causes, solutions and prevention.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A structured JSON response is returned and rendered as result cards in the app.</w:t>
      </w:r>
    </w:p>
    <w:p>
      <w:pPr>
        <w:pStyle w:val="Heading1"/>
        <w:spacing w:after="120" w:before="240"/>
      </w:pPr>
      <w:r>
        <w:t xml:space="preserve">3. System Architecture</w:t>
      </w:r>
    </w:p>
    <w:p>
      <w:pPr>
        <w:pStyle w:val="Heading2"/>
        <w:spacing w:after="100" w:before="200"/>
      </w:pPr>
      <w:r>
        <w:t xml:space="preserve">3.1 Backend (backend/my_flask_app)</w:t>
      </w:r>
    </w:p>
    <w:tbl>
      <w:tblPr>
        <w:tblW w:type="dxa" w:w="9026"/>
        <w:tblBorders>
          <w:top w:val="single" w:color="BFCBC3" w:sz="4"/>
          <w:left w:val="single" w:color="BFCBC3" w:sz="4"/>
          <w:bottom w:val="single" w:color="BFCBC3" w:sz="4"/>
          <w:right w:val="single" w:color="BFCBC3" w:sz="4"/>
          <w:insideH w:val="single" w:color="D7DED9" w:sz="2"/>
          <w:insideV w:val="single" w:color="D7DED9" w:sz="2"/>
        </w:tblBorders>
        <w:tblLayout w:type="fixed"/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026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app/ai/utils.py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Decode image, segment the leaf, extract colour/lesion features</w:t>
            </w:r>
          </w:p>
        </w:tc>
      </w:tr>
      <w:tr>
        <w:tc>
          <w:tcPr>
            <w:tcW w:type="dxa" w:w="30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app/ai/disease_detector.py</w:t>
            </w:r>
          </w:p>
        </w:tc>
        <w:tc>
          <w:tcPr>
            <w:tcW w:type="dxa" w:w="60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Classify features into a condition and assemble the response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app/ai/knowledge_base.py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Symptoms / causes / solutions / prevention per condition</w:t>
            </w:r>
          </w:p>
        </w:tc>
      </w:tr>
      <w:tr>
        <w:tc>
          <w:tcPr>
            <w:tcW w:type="dxa" w:w="30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app/ai/model_loader.py</w:t>
            </w:r>
          </w:p>
        </w:tc>
        <w:tc>
          <w:tcPr>
            <w:tcW w:type="dxa" w:w="60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Optional deep-learning (TorchScript) model hook — lazy, cached, fail-safe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app/services/disease_service.py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Validation and orchestration; returns (dict, status)</w:t>
            </w:r>
          </w:p>
        </w:tc>
      </w:tr>
      <w:tr>
        <w:tc>
          <w:tcPr>
            <w:tcW w:type="dxa" w:w="30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app/api/routes/disease_routes.py</w:t>
            </w:r>
          </w:p>
        </w:tc>
        <w:tc>
          <w:tcPr>
            <w:tcW w:type="dxa" w:w="60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 /health, POST /identify; blueprint at /api/disease</w:t>
            </w:r>
          </w:p>
        </w:tc>
      </w:tr>
    </w:tbl>
    <w:p>
      <w:pPr>
        <w:pStyle w:val="Heading2"/>
        <w:spacing w:after="100" w:before="200"/>
      </w:pPr>
      <w:r>
        <w:t xml:space="preserve">3.2 Frontend (Frontend/agri_vision)</w:t>
      </w:r>
    </w:p>
    <w:tbl>
      <w:tblPr>
        <w:tblW w:type="dxa" w:w="9026"/>
        <w:tblBorders>
          <w:top w:val="single" w:color="BFCBC3" w:sz="4"/>
          <w:left w:val="single" w:color="BFCBC3" w:sz="4"/>
          <w:bottom w:val="single" w:color="BFCBC3" w:sz="4"/>
          <w:right w:val="single" w:color="BFCBC3" w:sz="4"/>
          <w:insideH w:val="single" w:color="D7DED9" w:sz="2"/>
          <w:insideV w:val="single" w:color="D7DED9" w:sz="2"/>
        </w:tblBorders>
        <w:tblLayout w:type="fixed"/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626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core/utils/plant_photo_picker.dart</w:t>
            </w:r>
          </w:p>
        </w:tc>
        <w:tc>
          <w:tcPr>
            <w:tcW w:type="dxa" w:w="5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Camera + gallery capture via image_picker</w:t>
            </w:r>
          </w:p>
        </w:tc>
      </w:tr>
      <w:tr>
        <w:tc>
          <w:tcPr>
            <w:tcW w:type="dxa" w:w="34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data/disease/disease_service.dart</w:t>
            </w:r>
          </w:p>
        </w:tc>
        <w:tc>
          <w:tcPr>
            <w:tcW w:type="dxa" w:w="56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Multipart upload to the endpoint (Dio)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domain/entity/disease_result.dart</w:t>
            </w:r>
          </w:p>
        </w:tc>
        <w:tc>
          <w:tcPr>
            <w:tcW w:type="dxa" w:w="5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Typed model of the response</w:t>
            </w:r>
          </w:p>
        </w:tc>
      </w:tr>
      <w:tr>
        <w:tc>
          <w:tcPr>
            <w:tcW w:type="dxa" w:w="34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ui/cubit/disease/disease_cubit.dart</w:t>
            </w:r>
          </w:p>
        </w:tc>
        <w:tc>
          <w:tcPr>
            <w:tcW w:type="dxa" w:w="56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State machine: idle → analysing → success/failure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ui/view/Disease/disease_page.dart</w:t>
            </w:r>
          </w:p>
        </w:tc>
        <w:tc>
          <w:tcPr>
            <w:tcW w:type="dxa" w:w="5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Result UI: diagnosis, severity, solution cards</w:t>
            </w:r>
          </w:p>
        </w:tc>
      </w:tr>
    </w:tbl>
    <w:p>
      <w:pPr>
        <w:pStyle w:val="Heading1"/>
        <w:spacing w:after="120" w:before="240"/>
      </w:pPr>
      <w:r>
        <w:t xml:space="preserve">4. Detection Engine — Default (Computer Vision)</w:t>
      </w:r>
    </w:p>
    <w:p>
      <w:pPr>
        <w:spacing w:after="120"/>
      </w:pPr>
      <w:r>
        <w:t xml:space="preserve">The default engine is a deterministic computer-vision heuristic implemented with OpenCV and NumPy. It segments the leaf, measures how much of it is healthy-green, yellow (chlorotic), brown/necrotic, or white (mildew-like), analyses how dead tissue is distributed (many small spots vs. a few large blotches), and applies fixed rules. The same photo always yields the same result, and every decision is traceable to the measurements below.</w:t>
      </w:r>
    </w:p>
    <w:p>
      <w:pPr>
        <w:pStyle w:val="Heading2"/>
        <w:spacing w:after="100" w:before="200"/>
      </w:pPr>
      <w:r>
        <w:t xml:space="preserve">4.1 Feature-extraction parameters</w:t>
      </w:r>
    </w:p>
    <w:p>
      <w:pPr>
        <w:spacing w:after="120"/>
      </w:pPr>
      <w:r>
        <w:t xml:space="preserve">Computed in HSV colour space (OpenCV ranges: Hue 0–179, Saturation/Value 0–255). All *_fraction values are shares of the detected leaf area.</w:t>
      </w:r>
    </w:p>
    <w:tbl>
      <w:tblPr>
        <w:tblW w:type="dxa" w:w="9026"/>
        <w:tblBorders>
          <w:top w:val="single" w:color="BFCBC3" w:sz="4"/>
          <w:left w:val="single" w:color="BFCBC3" w:sz="4"/>
          <w:bottom w:val="single" w:color="BFCBC3" w:sz="4"/>
          <w:right w:val="single" w:color="BFCBC3" w:sz="4"/>
          <w:insideH w:val="single" w:color="D7DED9" w:sz="2"/>
          <w:insideV w:val="single" w:color="D7DED9" w:sz="2"/>
        </w:tblBorders>
        <w:tblLayout w:type="fixed"/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4426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 / rule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Pre-resize (longest edge)</w:t>
            </w:r>
          </w:p>
        </w:tc>
        <w:tc>
          <w:tcPr>
            <w:tcW w:type="dxa" w:w="44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720 px</w:t>
            </w:r>
          </w:p>
        </w:tc>
      </w:tr>
      <w:tr>
        <w:tc>
          <w:tcPr>
            <w:tcW w:type="dxa" w:w="46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Leaf mask — coloured tissue</w:t>
            </w:r>
          </w:p>
        </w:tc>
        <w:tc>
          <w:tcPr>
            <w:tcW w:type="dxa" w:w="44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S &gt; 40 and V &gt; 30 and H ≤ 95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Leaf mask — dark tissue</w:t>
            </w:r>
          </w:p>
        </w:tc>
        <w:tc>
          <w:tcPr>
            <w:tcW w:type="dxa" w:w="44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V &lt; 90 and S &gt; 20</w:t>
            </w:r>
          </w:p>
        </w:tc>
      </w:tr>
      <w:tr>
        <w:tc>
          <w:tcPr>
            <w:tcW w:type="dxa" w:w="46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Leaf mask — white coating (inside leaf only)</w:t>
            </w:r>
          </w:p>
        </w:tc>
        <w:tc>
          <w:tcPr>
            <w:tcW w:type="dxa" w:w="44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S &lt; 45 and V ≥ 170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“Leaf found?” minimum area</w:t>
            </w:r>
          </w:p>
        </w:tc>
        <w:tc>
          <w:tcPr>
            <w:tcW w:type="dxa" w:w="44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≥ max(500 px, 2% of frame)</w:t>
            </w:r>
          </w:p>
        </w:tc>
      </w:tr>
      <w:tr>
        <w:tc>
          <w:tcPr>
            <w:tcW w:type="dxa" w:w="46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Healthy green</w:t>
            </w:r>
          </w:p>
        </w:tc>
        <w:tc>
          <w:tcPr>
            <w:tcW w:type="dxa" w:w="44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H 35–90, S ≥ 45, V ≥ 40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Yellow (chlorotic)</w:t>
            </w:r>
          </w:p>
        </w:tc>
        <w:tc>
          <w:tcPr>
            <w:tcW w:type="dxa" w:w="44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H 20–35, S ≥ 45, V ≥ 60</w:t>
            </w:r>
          </w:p>
        </w:tc>
      </w:tr>
      <w:tr>
        <w:tc>
          <w:tcPr>
            <w:tcW w:type="dxa" w:w="46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White (mildew)</w:t>
            </w:r>
          </w:p>
        </w:tc>
        <w:tc>
          <w:tcPr>
            <w:tcW w:type="dxa" w:w="44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S &lt; 45, V ≥ 170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Brown / necrotic</w:t>
            </w:r>
          </w:p>
        </w:tc>
        <w:tc>
          <w:tcPr>
            <w:tcW w:type="dxa" w:w="44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(H ≤ 20 or H ≥ 160) or V &lt; 110, minus green/white/yellow</w:t>
            </w:r>
          </w:p>
        </w:tc>
      </w:tr>
      <w:tr>
        <w:tc>
          <w:tcPr>
            <w:tcW w:type="dxa" w:w="46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Lesion blob min area</w:t>
            </w:r>
          </w:p>
        </w:tc>
        <w:tc>
          <w:tcPr>
            <w:tcW w:type="dxa" w:w="44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max(12 px, 0.08% of leaf), 8-connectivity</w:t>
            </w:r>
          </w:p>
        </w:tc>
      </w:tr>
    </w:tbl>
    <w:p>
      <w:pPr>
        <w:pStyle w:val="Heading2"/>
        <w:spacing w:after="100" w:before="200"/>
      </w:pPr>
      <w:r>
        <w:t xml:space="preserve">4.2 Classification rules</w:t>
      </w:r>
    </w:p>
    <w:p>
      <w:pPr>
        <w:spacing w:after="120"/>
      </w:pPr>
      <w:r>
        <w:t xml:space="preserve">Rules are evaluated in order; the first match wins. green/yellow/brown/white are leaf-area fractions, spots is the discrete-lesion count, largest is the largest lesion's fraction of the leaf.</w:t>
      </w:r>
    </w:p>
    <w:tbl>
      <w:tblPr>
        <w:tblW w:type="dxa" w:w="9026"/>
        <w:tblBorders>
          <w:top w:val="single" w:color="BFCBC3" w:sz="4"/>
          <w:left w:val="single" w:color="BFCBC3" w:sz="4"/>
          <w:bottom w:val="single" w:color="BFCBC3" w:sz="4"/>
          <w:right w:val="single" w:color="BFCBC3" w:sz="4"/>
          <w:insideH w:val="single" w:color="D7DED9" w:sz="2"/>
          <w:insideV w:val="single" w:color="D7DED9" w:sz="2"/>
        </w:tblBorders>
        <w:tblLayout w:type="fixed"/>
      </w:tblPr>
      <w:tblGrid>
        <w:gridCol w:w="500"/>
        <w:gridCol w:w="2600"/>
        <w:gridCol w:w="4126"/>
        <w:gridCol w:w="1800"/>
      </w:tblGrid>
      <w:tr>
        <w:trPr>
          <w:tblHeader/>
        </w:trPr>
        <w:tc>
          <w:tcPr>
            <w:tcW w:type="dxa" w:w="500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126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800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Healthy</w:t>
            </w:r>
          </w:p>
        </w:tc>
        <w:tc>
          <w:tcPr>
            <w:tcW w:type="dxa" w:w="41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affected &lt; 0.12 and white &lt; 0.05 and spots &lt; 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0.75 + 0.2·green</w:t>
            </w:r>
          </w:p>
        </w:tc>
      </w:tr>
      <w:tr>
        <w:tc>
          <w:tcPr>
            <w:tcW w:type="dxa" w:w="5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Powdery mildew</w:t>
            </w:r>
          </w:p>
        </w:tc>
        <w:tc>
          <w:tcPr>
            <w:tcW w:type="dxa" w:w="41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white ≥ 0.06 and white ≥ brown</w:t>
            </w:r>
          </w:p>
        </w:tc>
        <w:tc>
          <w:tcPr>
            <w:tcW w:type="dxa" w:w="18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0.55 + white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Blight</w:t>
            </w:r>
          </w:p>
        </w:tc>
        <w:tc>
          <w:tcPr>
            <w:tcW w:type="dxa" w:w="41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largest ≥ 0.20 and brown ≥ 0.08 and brown ≥ yellow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0.5 + largest</w:t>
            </w:r>
          </w:p>
        </w:tc>
      </w:tr>
      <w:tr>
        <w:tc>
          <w:tcPr>
            <w:tcW w:type="dxa" w:w="5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Fungal / bacterial leaf spot</w:t>
            </w:r>
          </w:p>
        </w:tc>
        <w:tc>
          <w:tcPr>
            <w:tcW w:type="dxa" w:w="41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spots ≥ 5 and brown ≥ yellow</w:t>
            </w:r>
          </w:p>
        </w:tc>
        <w:tc>
          <w:tcPr>
            <w:tcW w:type="dxa" w:w="18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0.5 + (spots/40 + brown)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Leaf spot (broad browning)</w:t>
            </w:r>
          </w:p>
        </w:tc>
        <w:tc>
          <w:tcPr>
            <w:tcW w:type="dxa" w:w="41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brown ≥ 0.10 and brown ≥ yellow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0.45 + brown</w:t>
            </w:r>
          </w:p>
        </w:tc>
      </w:tr>
      <w:tr>
        <w:tc>
          <w:tcPr>
            <w:tcW w:type="dxa" w:w="5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Nutrient deficiency / chlorosis</w:t>
            </w:r>
          </w:p>
        </w:tc>
        <w:tc>
          <w:tcPr>
            <w:tcW w:type="dxa" w:w="41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yellow ≥ 0.12 and yellow ≥ brown</w:t>
            </w:r>
          </w:p>
        </w:tc>
        <w:tc>
          <w:tcPr>
            <w:tcW w:type="dxa" w:w="18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0.5 + yellow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General stress (fallback)</w:t>
            </w:r>
          </w:p>
        </w:tc>
        <w:tc>
          <w:tcPr>
            <w:tcW w:type="dxa" w:w="41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no rule matched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0.35 + 0.3·affected</w:t>
            </w:r>
          </w:p>
        </w:tc>
      </w:tr>
    </w:tbl>
    <w:p>
      <w:pPr>
        <w:spacing w:after="120"/>
      </w:pPr>
      <w:r>
        <w:rPr>
          <w:i/>
          <w:iCs/>
          <w:color w:val="5A6B60"/>
          <w:sz w:val="18"/>
          <w:szCs w:val="18"/>
        </w:rPr>
        <w:t xml:space="preserve">(affected = 1 − green_fraction. Each confidence is capped between 0.80 and 0.95.)</w:t>
      </w:r>
    </w:p>
    <w:p>
      <w:pPr>
        <w:pStyle w:val="Heading2"/>
        <w:spacing w:after="100" w:before="200"/>
      </w:pPr>
      <w:r>
        <w:t xml:space="preserve">4.3 Severity</w:t>
      </w:r>
    </w:p>
    <w:p>
      <w:pPr>
        <w:spacing w:after="120"/>
      </w:pPr>
      <w:r>
        <w:t xml:space="preserve">Severity is derived from affected_fraction (non-green leaf area):</w:t>
      </w:r>
    </w:p>
    <w:tbl>
      <w:tblPr>
        <w:tblW w:type="dxa" w:w="9026"/>
        <w:tblBorders>
          <w:top w:val="single" w:color="BFCBC3" w:sz="4"/>
          <w:left w:val="single" w:color="BFCBC3" w:sz="4"/>
          <w:bottom w:val="single" w:color="BFCBC3" w:sz="4"/>
          <w:right w:val="single" w:color="BFCBC3" w:sz="4"/>
          <w:insideH w:val="single" w:color="D7DED9" w:sz="2"/>
          <w:insideV w:val="single" w:color="D7DED9" w:sz="2"/>
        </w:tblBorders>
        <w:tblLayout w:type="fixed"/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826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condition is healthy</w:t>
            </w:r>
          </w:p>
        </w:tc>
      </w:tr>
      <w:tr>
        <w:tc>
          <w:tcPr>
            <w:tcW w:type="dxa" w:w="22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68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affected &lt; 0.20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moderate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0.20 ≤ affected &lt; 0.50</w:t>
            </w:r>
          </w:p>
        </w:tc>
      </w:tr>
      <w:tr>
        <w:tc>
          <w:tcPr>
            <w:tcW w:type="dxa" w:w="22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68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affected ≥ 0.50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5. Deep-Learning Integration</w:t>
      </w:r>
    </w:p>
    <w:p>
      <w:pPr>
        <w:spacing w:after="120"/>
      </w:pPr>
      <w:r>
        <w:rPr>
          <w:b/>
          <w:bCs/>
          <w:color w:val="1F4D38"/>
        </w:rPr>
        <w:t xml:space="preserve">This is where deep learning is used. </w:t>
      </w:r>
      <w:r>
        <w:t xml:space="preserve">The module includes a complete PyTorch inference path in </w:t>
      </w:r>
      <w:r>
        <w:rPr>
          <w:rFonts w:ascii="Consolas" w:cs="Consolas" w:eastAsia="Consolas" w:hAnsi="Consolas"/>
          <w:sz w:val="18"/>
          <w:szCs w:val="18"/>
        </w:rPr>
        <w:t xml:space="preserve">app/ai/model_loader.py</w:t>
      </w:r>
      <w:r>
        <w:t xml:space="preserve">. When a trained model is supplied, the detector calls the neural network instead of the heuristic rules; the rest of the pipeline (image decode, knowledge-base lookup, JSON response) is unchanged.</w:t>
      </w:r>
    </w:p>
    <w:p>
      <w:pPr>
        <w:pStyle w:val="Heading2"/>
        <w:spacing w:after="100" w:before="200"/>
      </w:pPr>
      <w:r>
        <w:t xml:space="preserve">5.1 Where in the code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Framework: </w:t>
      </w:r>
      <w:r>
        <w:t xml:space="preserve">PyTorch (torch, torchvision) — already listed in requirements.txt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Model format: </w:t>
      </w:r>
      <w:r>
        <w:t xml:space="preserve">TorchScript (a serialised .pt module loaded with torch.jit.load)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Entry point: </w:t>
      </w:r>
      <w:r>
        <w:t xml:space="preserve">model_loader.predict(image) — called by DiseaseDetector.detect()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Loading: </w:t>
      </w:r>
      <w:r>
        <w:t xml:space="preserve">Lazy, thread-safe, cached once per process; torch is imported only when a model is configured</w:t>
      </w:r>
    </w:p>
    <w:p>
      <w:pPr>
        <w:pStyle w:val="Heading2"/>
        <w:spacing w:after="100" w:before="200"/>
      </w:pPr>
      <w:r>
        <w:t xml:space="preserve">5.2 Inference pipeline</w:t>
      </w:r>
    </w:p>
    <w:p>
      <w:pPr>
        <w:spacing w:after="120"/>
      </w:pPr>
      <w:r>
        <w:t xml:space="preserve">When a model is active, each photo is pre-processed with the standard ImageNet convention before the forward pass:</w:t>
      </w:r>
    </w:p>
    <w:tbl>
      <w:tblPr>
        <w:tblW w:type="dxa" w:w="9026"/>
        <w:tblBorders>
          <w:top w:val="single" w:color="BFCBC3" w:sz="4"/>
          <w:left w:val="single" w:color="BFCBC3" w:sz="4"/>
          <w:bottom w:val="single" w:color="BFCBC3" w:sz="4"/>
          <w:right w:val="single" w:color="BFCBC3" w:sz="4"/>
          <w:insideH w:val="single" w:color="D7DED9" w:sz="2"/>
          <w:insideV w:val="single" w:color="D7DED9" w:sz="2"/>
        </w:tblBorders>
        <w:tblLayout w:type="fixed"/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026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Colour / resize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Convert BGR→RGB and resize to 224 × 224</w:t>
            </w:r>
          </w:p>
        </w:tc>
      </w:tr>
      <w:tr>
        <w:tc>
          <w:tcPr>
            <w:tcW w:type="dxa" w:w="30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Scale</w:t>
            </w:r>
          </w:p>
        </w:tc>
        <w:tc>
          <w:tcPr>
            <w:tcW w:type="dxa" w:w="60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Pixel values scaled to 0–1 (divide by 255)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Normalisation (mean)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[0.485, 0.456, 0.406] per RGB channel</w:t>
            </w:r>
          </w:p>
        </w:tc>
      </w:tr>
      <w:tr>
        <w:tc>
          <w:tcPr>
            <w:tcW w:type="dxa" w:w="30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Normalisation (std)</w:t>
            </w:r>
          </w:p>
        </w:tc>
        <w:tc>
          <w:tcPr>
            <w:tcW w:type="dxa" w:w="60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[0.229, 0.224, 0.225] per RGB channel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Tensor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HWC → CHW, add batch dim → shape [1, 3, 224, 224]</w:t>
            </w:r>
          </w:p>
        </w:tc>
      </w:tr>
      <w:tr>
        <w:tc>
          <w:tcPr>
            <w:tcW w:type="dxa" w:w="30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Forward pass</w:t>
            </w:r>
          </w:p>
        </w:tc>
        <w:tc>
          <w:tcPr>
            <w:tcW w:type="dxa" w:w="60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logits = model(tensor) with torch.no_grad()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Decision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softmax(logits) → top-1 class index and confidence</w:t>
            </w:r>
          </w:p>
        </w:tc>
      </w:tr>
    </w:tbl>
    <w:p>
      <w:pPr>
        <w:pStyle w:val="Heading2"/>
        <w:spacing w:after="100" w:before="200"/>
      </w:pPr>
      <w:r>
        <w:t xml:space="preserve">5.3 Configuration</w:t>
      </w:r>
    </w:p>
    <w:p>
      <w:pPr>
        <w:spacing w:after="120"/>
      </w:pPr>
      <w:r>
        <w:t xml:space="preserve">Enable the deep-learning engine by setting two environment variables and restarting the backend — no code changes required: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AI_DISEASE_MODEL_PATH=/abs/path/model.pt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AI_DISEASE_LABELS_PATH=/abs/path/labels.txt</w:t>
      </w:r>
    </w:p>
    <w:tbl>
      <w:tblPr>
        <w:tblW w:type="dxa" w:w="9026"/>
        <w:tblBorders>
          <w:top w:val="single" w:color="BFCBC3" w:sz="4"/>
          <w:left w:val="single" w:color="BFCBC3" w:sz="4"/>
          <w:bottom w:val="single" w:color="BFCBC3" w:sz="4"/>
          <w:right w:val="single" w:color="BFCBC3" w:sz="4"/>
          <w:insideH w:val="single" w:color="D7DED9" w:sz="2"/>
          <w:insideV w:val="single" w:color="D7DED9" w:sz="2"/>
        </w:tblBorders>
        <w:tblLayout w:type="fixed"/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626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AI_DISEASE_MODEL_PATH</w:t>
            </w:r>
          </w:p>
        </w:tc>
        <w:tc>
          <w:tcPr>
            <w:tcW w:type="dxa" w:w="5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Path to the TorchScript model (.pt). If unset or missing, the heuristic is used.</w:t>
            </w:r>
          </w:p>
        </w:tc>
      </w:tr>
      <w:tr>
        <w:tc>
          <w:tcPr>
            <w:tcW w:type="dxa" w:w="34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AI_DISEASE_LABELS_PATH</w:t>
            </w:r>
          </w:p>
        </w:tc>
        <w:tc>
          <w:tcPr>
            <w:tcW w:type="dxa" w:w="56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Text file with one class name per line, in the model's output order.</w:t>
            </w:r>
          </w:p>
        </w:tc>
      </w:tr>
    </w:tbl>
    <w:p>
      <w:pPr>
        <w:pStyle w:val="Heading2"/>
        <w:spacing w:after="100" w:before="200"/>
      </w:pPr>
      <w:r>
        <w:t xml:space="preserve">5.4 Label mapping and fail-safe fallback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Label mapping: </w:t>
      </w:r>
      <w:r>
        <w:t xml:space="preserve">model labels are normalised onto the knowledge-base condition ids (e.g. “early_blight” or “late_blight” → blight; “septoria” → fungal_leaf_spot). Unrecognised labels fall back to the general_stress entry so the app always shows usable advice.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Fail-safe: </w:t>
      </w:r>
      <w:r>
        <w:t xml:space="preserve">any model load or inference error is logged and the detector automatically reverts to the heuristic. A misconfigured or corrupt model can never take the endpoint down.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Response provenance: </w:t>
      </w:r>
      <w:r>
        <w:t xml:space="preserve">the JSON “source” field reports “model” or “heuristic” so the app (and the user) know which engine produced the result.</w:t>
      </w:r>
    </w:p>
    <w:p>
      <w:pPr>
        <w:pStyle w:val="Heading2"/>
        <w:spacing w:after="100" w:before="200"/>
      </w:pPr>
      <w:r>
        <w:t xml:space="preserve">5.5 Training a model and reporting accuracy</w:t>
      </w:r>
    </w:p>
    <w:p>
      <w:pPr>
        <w:spacing w:after="120"/>
      </w:pPr>
      <w:r>
        <w:t xml:space="preserve">The default build ships no trained weights and therefore makes no accuracy claim. To turn on real deep-learning classification and report a measured accuracy, the recommended path is: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Assemble / choose a labelled leaf-disease dataset (e.g. the public PlantVillage dataset, ~54k leaf images across many crop–disease classes).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 a convolutional neural network (e.g. MobileNetV2 or ResNet-18) using the ImageNet normalisation in Section 5.2 so training and inference match.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 the trained model with torch.jit.script or torch.jit.trace to a .pt file and write the class names to labels.txt.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Point the two environment variables at those files and restart the backend.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Evaluate on a held-out test split and report top-1 accuracy, macro-F1, and a confusion matrix — this is the accuracy figure that belongs in the project report.</w:t>
      </w:r>
    </w:p>
    <w:tbl>
      <w:tblPr>
        <w:tblW w:type="dxa" w:w="9026"/>
        <w:tblBorders>
          <w:top w:val="single" w:color="E0B84A" w:sz="4"/>
          <w:left w:val="single" w:color="E0B84A" w:sz="18"/>
          <w:bottom w:val="single" w:color="E0B84A" w:sz="4"/>
          <w:right w:val="single" w:color="E0B84A" w:sz="4"/>
          <w:insideH w:val="none"/>
          <w:insideV w:val="none"/>
        </w:tblBorders>
        <w:tblLayout w:type="fixed"/>
      </w:tblPr>
      <w:tblGrid>
        <w:gridCol w:w="9026"/>
      </w:tblGrid>
      <w:tr>
        <w:tc>
          <w:tcPr>
            <w:tcW w:type="dxa" w:w="9026"/>
            <w:shd w:fill="FCF6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8A6D1A"/>
              </w:rPr>
              <w:t xml:space="preserve">Summary. </w:t>
            </w:r>
            <w:r>
              <w:t xml:space="preserve">Deep learning is fully integrated as an inference path (PyTorch / TorchScript, 224×224, ImageNet normalisation, softmax top-1). It becomes the active engine the moment a trained .pt model is provided. Until then, the honest and reproducible behaviour is the computer-vision heuristic in Section 4, with no dataset dependency and no fabricated accuracy.</w:t>
            </w:r>
          </w:p>
        </w:tc>
      </w:tr>
    </w:tbl>
    <w:p>
      <w:pPr>
        <w:pStyle w:val="Heading1"/>
        <w:spacing w:after="120" w:before="240"/>
      </w:pPr>
      <w:r>
        <w:t xml:space="preserve">6. Knowledge Base (Conditions &amp; Solutions)</w:t>
      </w:r>
    </w:p>
    <w:p>
      <w:pPr>
        <w:spacing w:after="120"/>
      </w:pPr>
      <w:r>
        <w:t xml:space="preserve">Seven conditions, each carrying a description, symptoms, causes, grouped solutions and prevention tips:</w:t>
      </w:r>
    </w:p>
    <w:tbl>
      <w:tblPr>
        <w:tblW w:type="dxa" w:w="9026"/>
        <w:tblBorders>
          <w:top w:val="single" w:color="BFCBC3" w:sz="4"/>
          <w:left w:val="single" w:color="BFCBC3" w:sz="4"/>
          <w:bottom w:val="single" w:color="BFCBC3" w:sz="4"/>
          <w:right w:val="single" w:color="BFCBC3" w:sz="4"/>
          <w:insideH w:val="single" w:color="D7DED9" w:sz="2"/>
          <w:insideV w:val="single" w:color="D7DED9" w:sz="2"/>
        </w:tblBorders>
        <w:tblLayout w:type="fixed"/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3400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26"/>
            <w:shd w:fill="1F4D3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 trigger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healthy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Healthy plant</w:t>
            </w:r>
          </w:p>
        </w:tc>
        <w:tc>
          <w:tcPr>
            <w:tcW w:type="dxa" w:w="3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Uniform green, no lesions</w:t>
            </w:r>
          </w:p>
        </w:tc>
      </w:tr>
      <w:tr>
        <w:tc>
          <w:tcPr>
            <w:tcW w:type="dxa" w:w="26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nutrient_deficiency</w:t>
            </w:r>
          </w:p>
        </w:tc>
        <w:tc>
          <w:tcPr>
            <w:tcW w:type="dxa" w:w="34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Nutrient deficiency / chlorosis</w:t>
            </w:r>
          </w:p>
        </w:tc>
        <w:tc>
          <w:tcPr>
            <w:tcW w:type="dxa" w:w="30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Widespread yellowing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fungal_leaf_spot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Fungal / bacterial leaf spot</w:t>
            </w:r>
          </w:p>
        </w:tc>
        <w:tc>
          <w:tcPr>
            <w:tcW w:type="dxa" w:w="3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Many discrete spots</w:t>
            </w:r>
          </w:p>
        </w:tc>
      </w:tr>
      <w:tr>
        <w:tc>
          <w:tcPr>
            <w:tcW w:type="dxa" w:w="26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blight</w:t>
            </w:r>
          </w:p>
        </w:tc>
        <w:tc>
          <w:tcPr>
            <w:tcW w:type="dxa" w:w="34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Blight (early / late type)</w:t>
            </w:r>
          </w:p>
        </w:tc>
        <w:tc>
          <w:tcPr>
            <w:tcW w:type="dxa" w:w="30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Large necrotic blotches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powdery_mildew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Powdery mildew</w:t>
            </w:r>
          </w:p>
        </w:tc>
        <w:tc>
          <w:tcPr>
            <w:tcW w:type="dxa" w:w="3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White / grey coating</w:t>
            </w:r>
          </w:p>
        </w:tc>
      </w:tr>
      <w:tr>
        <w:tc>
          <w:tcPr>
            <w:tcW w:type="dxa" w:w="26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pest_damage</w:t>
            </w:r>
          </w:p>
        </w:tc>
        <w:tc>
          <w:tcPr>
            <w:tcW w:type="dxa" w:w="3400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Pest / physical damage</w:t>
            </w:r>
          </w:p>
        </w:tc>
        <w:tc>
          <w:tcPr>
            <w:tcW w:type="dxa" w:w="3026"/>
            <w:shd w:fill="EEF3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Holes, ragged edges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7"/>
                <w:szCs w:val="17"/>
              </w:rPr>
              <w:t xml:space="preserve">general_stress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General leaf stress (inconclusive)</w:t>
            </w:r>
          </w:p>
        </w:tc>
        <w:tc>
          <w:tcPr>
            <w:tcW w:type="dxa" w:w="3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Unclear pattern</w:t>
            </w:r>
          </w:p>
        </w:tc>
      </w:tr>
    </w:tbl>
    <w:p>
      <w:pPr>
        <w:pStyle w:val="Heading1"/>
        <w:spacing w:after="120" w:before="240"/>
      </w:pPr>
      <w:r>
        <w:t xml:space="preserve">7. API Reference</w:t>
      </w:r>
    </w:p>
    <w:p>
      <w:pPr>
        <w:pStyle w:val="Heading3"/>
        <w:spacing w:after="80" w:before="160"/>
      </w:pPr>
      <w:r>
        <w:t xml:space="preserve">GET /api/disease/health</w:t>
      </w:r>
    </w:p>
    <w:p>
      <w:pPr>
        <w:spacing w:after="120"/>
      </w:pPr>
      <w:r>
        <w:t xml:space="preserve">Returns module capabilities and the active engine (“heuristic” or “model”) plus the list of known conditions.</w:t>
      </w:r>
    </w:p>
    <w:p>
      <w:pPr>
        <w:pStyle w:val="Heading3"/>
        <w:spacing w:after="80" w:before="160"/>
      </w:pPr>
      <w:r>
        <w:t xml:space="preserve">POST /api/disease/identify</w:t>
      </w:r>
    </w:p>
    <w:p>
      <w:pPr>
        <w:spacing w:after="120"/>
      </w:pPr>
      <w:r>
        <w:t xml:space="preserve">multipart/form-data with one image file part (any field name); max 12 MB. Returns: status, is_healthy, confidence, source, disease {id, name, also_known_as, description}, severity {level, affected_percent}, symptoms[], causes[], solutions[] {type, title, detail}, prevention[], observations{...}, and a disclaimer.</w:t>
      </w:r>
    </w:p>
    <w:p>
      <w:pPr>
        <w:pStyle w:val="Heading1"/>
        <w:spacing w:after="120" w:before="240"/>
      </w:pPr>
      <w:r>
        <w:t xml:space="preserve">8.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default engine reports a visual category, not a specific pathogen or strain.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Works best on one well-lit leaf on a plain background; busy backgrounds or heavy shadow reduce reliability.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Colour thresholds assume roughly natural white balance; extreme lighting can shift results.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Pest/physical (hole) damage is advisory — it is hard to detect from colour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is an automated screening, not a substitute for expert diagnosis before chemical treatment.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D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6B4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3A4A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2026-07-25T09:09:23.546Z</dcterms:created>
  <dcterms:modified xsi:type="dcterms:W3CDTF">2026-07-25T09:09:23.547Z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