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D38"/>
          <w:sz w:val="28"/>
          <w:szCs w:val="28"/>
        </w:rPr>
        <w:t xml:space="preserve">AgriVision</w:t>
      </w:r>
    </w:p>
    <w:p>
      <w:pPr>
        <w:spacing w:after="60"/>
      </w:pPr>
      <w:r>
        <w:rPr>
          <w:b/>
          <w:bCs/>
          <w:color w:val="1A1F1C"/>
          <w:sz w:val="48"/>
          <w:szCs w:val="48"/>
        </w:rPr>
        <w:t xml:space="preserve">Vegetation Indices Reference</w:t>
      </w:r>
    </w:p>
    <w:p>
      <w:pPr>
        <w:spacing w:after="120"/>
      </w:pPr>
      <w:r>
        <w:rPr>
          <w:i/>
          <w:iCs/>
          <w:color w:val="5A6B60"/>
          <w:sz w:val="24"/>
          <w:szCs w:val="24"/>
        </w:rPr>
        <w:t xml:space="preserve">The 21 indices used by the multispectral field-analysis module</w:t>
      </w:r>
    </w:p>
    <w:p>
      <w:pPr>
        <w:pBdr>
          <w:bottom w:val="single" w:color="1F4D38" w:sz="8" w:space="4"/>
        </w:pBdr>
        <w:spacing w:after="240"/>
      </w:pPr>
      <w:r>
        <w:rPr>
          <w:sz w:val="2"/>
          <w:szCs w:val="2"/>
        </w:rPr>
        <w:t xml:space="preserve"/>
      </w:r>
    </w:p>
    <w:p>
      <w:pPr>
        <w:spacing w:after="80"/>
      </w:pPr>
      <w:r>
        <w:rPr>
          <w:b/>
          <w:bCs/>
          <w:color w:val="1F4D38"/>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Introduction</w:t>
      </w:r>
    </w:p>
    <w:p>
      <w:pPr>
        <w:spacing w:after="120"/>
      </w:pPr>
      <w:r>
        <w:t xml:space="preserve">A vegetation index is a simple arithmetic combination of surface reflectance in two or more spectral bands, designed to amplify a property of the canopy — greenness, chlorophyll, water, or stress — while cancelling nuisance effects such as overall brightness, soil background, or atmosphere.</w:t>
      </w:r>
    </w:p>
    <w:p>
      <w:pPr>
        <w:spacing w:after="120"/>
      </w:pPr>
      <w:r>
        <w:t xml:space="preserve">The physical basis: healthy leaves absorb strongly in the red band (for photosynthesis) and reflect strongly in the near-infrared (NIR), owing to internal leaf structure. The larger the gap between NIR and red reflectance, the more vigorous green biomass is present. Most indices are variations on measuring that gap while correcting for something (soil, atmosphere, saturation at high biomass, and so on).</w:t>
      </w:r>
    </w:p>
    <w:p>
      <w:pPr>
        <w:spacing w:after="120"/>
      </w:pPr>
      <w:r>
        <w:t xml:space="preserve">Indices are computed on reflectance in the range 0 to 1. Many use a </w:t>
      </w:r>
      <w:r>
        <w:rPr>
          <w:b/>
          <w:bCs/>
        </w:rPr>
        <w:t xml:space="preserve">normalised difference</w:t>
      </w:r>
      <w:r>
        <w:t xml:space="preserve"> form (A − B) / (A + B), which is bounded to [−1, 1] and robust to overall brightness changes.</w:t>
      </w:r>
    </w:p>
    <w:p>
      <w:pPr>
        <w:pStyle w:val="Heading1"/>
        <w:spacing w:after="120" w:before="240"/>
      </w:pPr>
      <w:r>
        <w:t xml:space="preserve">2. Spectral Bands</w:t>
      </w:r>
    </w:p>
    <w:tbl>
      <w:tblPr>
        <w:tblW w:type="dxa" w:w="9026"/>
        <w:tblBorders>
          <w:top w:val="single" w:color="BFCBC3" w:sz="4"/>
          <w:left w:val="single" w:color="BFCBC3" w:sz="4"/>
          <w:bottom w:val="single" w:color="BFCBC3" w:sz="4"/>
          <w:right w:val="single" w:color="BFCBC3" w:sz="4"/>
          <w:insideH w:val="single" w:color="D7DED9" w:sz="2"/>
          <w:insideV w:val="single" w:color="D7DED9" w:sz="2"/>
        </w:tblBorders>
        <w:tblLayout w:type="fixed"/>
      </w:tblPr>
      <w:tblGrid>
        <w:gridCol w:w="1600"/>
        <w:gridCol w:w="2400"/>
        <w:gridCol w:w="5026"/>
      </w:tblGrid>
      <w:tr>
        <w:trPr>
          <w:tblHeader/>
        </w:trPr>
        <w:tc>
          <w:tcPr>
            <w:tcW w:type="dxa" w:w="1600"/>
            <w:shd w:fill="1F4D38" w:color="auto" w:val="clear"/>
            <w:tcMar>
              <w:top w:type="dxa" w:w="40"/>
              <w:left w:type="dxa" w:w="80"/>
              <w:bottom w:type="dxa" w:w="40"/>
              <w:right w:type="dxa" w:w="80"/>
            </w:tcMar>
          </w:tcPr>
          <w:p>
            <w:pPr>
              <w:spacing w:after="40"/>
              <w:jc w:val="left"/>
            </w:pPr>
            <w:r>
              <w:rPr>
                <w:b/>
                <w:bCs/>
                <w:color w:val="FFFFFF"/>
                <w:sz w:val="18"/>
                <w:szCs w:val="18"/>
              </w:rPr>
              <w:t xml:space="preserve">Band</w:t>
            </w:r>
          </w:p>
        </w:tc>
        <w:tc>
          <w:tcPr>
            <w:tcW w:type="dxa" w:w="2400"/>
            <w:shd w:fill="1F4D38" w:color="auto" w:val="clear"/>
            <w:tcMar>
              <w:top w:type="dxa" w:w="40"/>
              <w:left w:type="dxa" w:w="80"/>
              <w:bottom w:type="dxa" w:w="40"/>
              <w:right w:type="dxa" w:w="80"/>
            </w:tcMar>
          </w:tcPr>
          <w:p>
            <w:pPr>
              <w:spacing w:after="40"/>
              <w:jc w:val="left"/>
            </w:pPr>
            <w:r>
              <w:rPr>
                <w:b/>
                <w:bCs/>
                <w:color w:val="FFFFFF"/>
                <w:sz w:val="18"/>
                <w:szCs w:val="18"/>
              </w:rPr>
              <w:t xml:space="preserve">Wavelength</w:t>
            </w:r>
          </w:p>
        </w:tc>
        <w:tc>
          <w:tcPr>
            <w:tcW w:type="dxa" w:w="5026"/>
            <w:shd w:fill="1F4D38" w:color="auto" w:val="clear"/>
            <w:tcMar>
              <w:top w:type="dxa" w:w="40"/>
              <w:left w:type="dxa" w:w="80"/>
              <w:bottom w:type="dxa" w:w="40"/>
              <w:right w:type="dxa" w:w="80"/>
            </w:tcMar>
          </w:tcPr>
          <w:p>
            <w:pPr>
              <w:spacing w:after="40"/>
              <w:jc w:val="left"/>
            </w:pPr>
            <w:r>
              <w:rPr>
                <w:b/>
                <w:bCs/>
                <w:color w:val="FFFFFF"/>
                <w:sz w:val="18"/>
                <w:szCs w:val="18"/>
              </w:rPr>
              <w:t xml:space="preserve">Role in vegetation sensing</w:t>
            </w:r>
          </w:p>
        </w:tc>
      </w:tr>
      <w:tr>
        <w:tc>
          <w:tcPr>
            <w:tcW w:type="dxa" w:w="1600"/>
            <w:tcMar>
              <w:top w:type="dxa" w:w="40"/>
              <w:left w:type="dxa" w:w="80"/>
              <w:bottom w:type="dxa" w:w="40"/>
              <w:right w:type="dxa" w:w="80"/>
            </w:tcMar>
          </w:tcPr>
          <w:p>
            <w:pPr>
              <w:spacing w:after="40"/>
              <w:jc w:val="left"/>
            </w:pPr>
            <w:r>
              <w:rPr>
                <w:b w:val="false"/>
                <w:bCs w:val="false"/>
                <w:color w:val="222222"/>
                <w:sz w:val="18"/>
                <w:szCs w:val="18"/>
              </w:rPr>
              <w:t xml:space="preserve">Blue</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~450–495 nm</w:t>
            </w:r>
          </w:p>
        </w:tc>
        <w:tc>
          <w:tcPr>
            <w:tcW w:type="dxa" w:w="5026"/>
            <w:tcMar>
              <w:top w:type="dxa" w:w="40"/>
              <w:left w:type="dxa" w:w="80"/>
              <w:bottom w:type="dxa" w:w="40"/>
              <w:right w:type="dxa" w:w="80"/>
            </w:tcMar>
          </w:tcPr>
          <w:p>
            <w:pPr>
              <w:spacing w:after="40"/>
              <w:jc w:val="left"/>
            </w:pPr>
            <w:r>
              <w:rPr>
                <w:b w:val="false"/>
                <w:bCs w:val="false"/>
                <w:color w:val="222222"/>
                <w:sz w:val="18"/>
                <w:szCs w:val="18"/>
              </w:rPr>
              <w:t xml:space="preserve">Atmospheric correction; pigment absorption</w:t>
            </w:r>
          </w:p>
        </w:tc>
      </w:tr>
      <w:tr>
        <w:tc>
          <w:tcPr>
            <w:tcW w:type="dxa" w:w="16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Green</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~495–570 nm</w:t>
            </w:r>
          </w:p>
        </w:tc>
        <w:tc>
          <w:tcPr>
            <w:tcW w:type="dxa" w:w="5026"/>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Peak healthy-leaf reflectance; chlorophyll</w:t>
            </w:r>
          </w:p>
        </w:tc>
      </w:tr>
      <w:tr>
        <w:tc>
          <w:tcPr>
            <w:tcW w:type="dxa" w:w="1600"/>
            <w:tcMar>
              <w:top w:type="dxa" w:w="40"/>
              <w:left w:type="dxa" w:w="80"/>
              <w:bottom w:type="dxa" w:w="40"/>
              <w:right w:type="dxa" w:w="80"/>
            </w:tcMar>
          </w:tcPr>
          <w:p>
            <w:pPr>
              <w:spacing w:after="40"/>
              <w:jc w:val="left"/>
            </w:pPr>
            <w:r>
              <w:rPr>
                <w:b w:val="false"/>
                <w:bCs w:val="false"/>
                <w:color w:val="222222"/>
                <w:sz w:val="18"/>
                <w:szCs w:val="18"/>
              </w:rPr>
              <w:t xml:space="preserve">Red</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~620–700 nm</w:t>
            </w:r>
          </w:p>
        </w:tc>
        <w:tc>
          <w:tcPr>
            <w:tcW w:type="dxa" w:w="5026"/>
            <w:tcMar>
              <w:top w:type="dxa" w:w="40"/>
              <w:left w:type="dxa" w:w="80"/>
              <w:bottom w:type="dxa" w:w="40"/>
              <w:right w:type="dxa" w:w="80"/>
            </w:tcMar>
          </w:tcPr>
          <w:p>
            <w:pPr>
              <w:spacing w:after="40"/>
              <w:jc w:val="left"/>
            </w:pPr>
            <w:r>
              <w:rPr>
                <w:b w:val="false"/>
                <w:bCs w:val="false"/>
                <w:color w:val="222222"/>
                <w:sz w:val="18"/>
                <w:szCs w:val="18"/>
              </w:rPr>
              <w:t xml:space="preserve">Chlorophyll absorption (photosynthesis)</w:t>
            </w:r>
          </w:p>
        </w:tc>
      </w:tr>
      <w:tr>
        <w:tc>
          <w:tcPr>
            <w:tcW w:type="dxa" w:w="16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Red-edge</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~700–740 nm</w:t>
            </w:r>
          </w:p>
        </w:tc>
        <w:tc>
          <w:tcPr>
            <w:tcW w:type="dxa" w:w="5026"/>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Steep NIR/red transition; early stress &amp; chlorophyll</w:t>
            </w:r>
          </w:p>
        </w:tc>
      </w:tr>
      <w:tr>
        <w:tc>
          <w:tcPr>
            <w:tcW w:type="dxa" w:w="1600"/>
            <w:tcMar>
              <w:top w:type="dxa" w:w="40"/>
              <w:left w:type="dxa" w:w="80"/>
              <w:bottom w:type="dxa" w:w="40"/>
              <w:right w:type="dxa" w:w="80"/>
            </w:tcMar>
          </w:tcPr>
          <w:p>
            <w:pPr>
              <w:spacing w:after="40"/>
              <w:jc w:val="left"/>
            </w:pPr>
            <w:r>
              <w:rPr>
                <w:b w:val="false"/>
                <w:bCs w:val="false"/>
                <w:color w:val="222222"/>
                <w:sz w:val="18"/>
                <w:szCs w:val="18"/>
              </w:rPr>
              <w:t xml:space="preserve">NIR</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~760–900 nm</w:t>
            </w:r>
          </w:p>
        </w:tc>
        <w:tc>
          <w:tcPr>
            <w:tcW w:type="dxa" w:w="5026"/>
            <w:tcMar>
              <w:top w:type="dxa" w:w="40"/>
              <w:left w:type="dxa" w:w="80"/>
              <w:bottom w:type="dxa" w:w="40"/>
              <w:right w:type="dxa" w:w="80"/>
            </w:tcMar>
          </w:tcPr>
          <w:p>
            <w:pPr>
              <w:spacing w:after="40"/>
              <w:jc w:val="left"/>
            </w:pPr>
            <w:r>
              <w:rPr>
                <w:b w:val="false"/>
                <w:bCs w:val="false"/>
                <w:color w:val="222222"/>
                <w:sz w:val="18"/>
                <w:szCs w:val="18"/>
              </w:rPr>
              <w:t xml:space="preserve">Reflected by healthy leaf structure; biomass</w:t>
            </w:r>
          </w:p>
        </w:tc>
      </w:tr>
    </w:tbl>
    <w:p>
      <w:pPr>
        <w:spacing w:after="120"/>
      </w:pPr>
      <w:r>
        <w:rPr>
          <w:i/>
          <w:iCs/>
          <w:color w:val="5A6B60"/>
          <w:sz w:val="18"/>
          <w:szCs w:val="18"/>
        </w:rPr>
        <w:t xml:space="preserve">Each index runs only when the bands it needs are present, so RGB-only captures still get the RGB-family indices.</w:t>
      </w:r>
    </w:p>
    <w:p>
      <w:r>
        <w:br w:type="page"/>
      </w:r>
    </w:p>
    <w:p>
      <w:pPr>
        <w:pStyle w:val="Heading1"/>
        <w:spacing w:after="120" w:before="240"/>
      </w:pPr>
      <w:r>
        <w:t xml:space="preserve">3. Full Index Reference (21 indices)</w:t>
      </w:r>
    </w:p>
    <w:p>
      <w:pPr>
        <w:spacing w:after="120"/>
      </w:pPr>
      <w:r>
        <w:rPr>
          <w:b/>
          <w:bCs/>
        </w:rPr>
        <w:t xml:space="preserve">↑</w:t>
      </w:r>
      <w:r>
        <w:t xml:space="preserve"> = a high value means a healthier canopy (low risk).  </w:t>
      </w:r>
      <w:r>
        <w:rPr>
          <w:b/>
          <w:bCs/>
        </w:rPr>
        <w:t xml:space="preserve">↓</w:t>
      </w:r>
      <w:r>
        <w:t xml:space="preserve"> = a high value means more stress (high risk).</w:t>
      </w:r>
    </w:p>
    <w:tbl>
      <w:tblPr>
        <w:tblW w:type="dxa" w:w="9026"/>
        <w:tblBorders>
          <w:top w:val="single" w:color="BFCBC3" w:sz="4"/>
          <w:left w:val="single" w:color="BFCBC3" w:sz="4"/>
          <w:bottom w:val="single" w:color="BFCBC3" w:sz="4"/>
          <w:right w:val="single" w:color="BFCBC3" w:sz="4"/>
          <w:insideH w:val="single" w:color="D7DED9" w:sz="2"/>
          <w:insideV w:val="single" w:color="D7DED9" w:sz="2"/>
        </w:tblBorders>
        <w:tblLayout w:type="fixed"/>
      </w:tblPr>
      <w:tblGrid>
        <w:gridCol w:w="1500"/>
        <w:gridCol w:w="4300"/>
        <w:gridCol w:w="2400"/>
        <w:gridCol w:w="826"/>
      </w:tblGrid>
      <w:tr>
        <w:trPr>
          <w:tblHeader/>
        </w:trPr>
        <w:tc>
          <w:tcPr>
            <w:tcW w:type="dxa" w:w="1500"/>
            <w:shd w:fill="1F4D38" w:color="auto" w:val="clear"/>
            <w:tcMar>
              <w:top w:type="dxa" w:w="40"/>
              <w:left w:type="dxa" w:w="80"/>
              <w:bottom w:type="dxa" w:w="40"/>
              <w:right w:type="dxa" w:w="80"/>
            </w:tcMar>
          </w:tcPr>
          <w:p>
            <w:pPr>
              <w:spacing w:after="40"/>
              <w:jc w:val="left"/>
            </w:pPr>
            <w:r>
              <w:rPr>
                <w:b/>
                <w:bCs/>
                <w:color w:val="FFFFFF"/>
                <w:sz w:val="18"/>
                <w:szCs w:val="18"/>
              </w:rPr>
              <w:t xml:space="preserve">Index</w:t>
            </w:r>
          </w:p>
        </w:tc>
        <w:tc>
          <w:tcPr>
            <w:tcW w:type="dxa" w:w="4300"/>
            <w:shd w:fill="1F4D38" w:color="auto" w:val="clear"/>
            <w:tcMar>
              <w:top w:type="dxa" w:w="40"/>
              <w:left w:type="dxa" w:w="80"/>
              <w:bottom w:type="dxa" w:w="40"/>
              <w:right w:type="dxa" w:w="80"/>
            </w:tcMar>
          </w:tcPr>
          <w:p>
            <w:pPr>
              <w:spacing w:after="40"/>
              <w:jc w:val="left"/>
            </w:pPr>
            <w:r>
              <w:rPr>
                <w:b/>
                <w:bCs/>
                <w:color w:val="FFFFFF"/>
                <w:sz w:val="18"/>
                <w:szCs w:val="18"/>
              </w:rPr>
              <w:t xml:space="preserve">Formula</w:t>
            </w:r>
          </w:p>
        </w:tc>
        <w:tc>
          <w:tcPr>
            <w:tcW w:type="dxa" w:w="2400"/>
            <w:shd w:fill="1F4D38" w:color="auto" w:val="clear"/>
            <w:tcMar>
              <w:top w:type="dxa" w:w="40"/>
              <w:left w:type="dxa" w:w="80"/>
              <w:bottom w:type="dxa" w:w="40"/>
              <w:right w:type="dxa" w:w="80"/>
            </w:tcMar>
          </w:tcPr>
          <w:p>
            <w:pPr>
              <w:spacing w:after="40"/>
              <w:jc w:val="left"/>
            </w:pPr>
            <w:r>
              <w:rPr>
                <w:b/>
                <w:bCs/>
                <w:color w:val="FFFFFF"/>
                <w:sz w:val="18"/>
                <w:szCs w:val="18"/>
              </w:rPr>
              <w:t xml:space="preserve">Bands</w:t>
            </w:r>
          </w:p>
        </w:tc>
        <w:tc>
          <w:tcPr>
            <w:tcW w:type="dxa" w:w="826"/>
            <w:shd w:fill="1F4D38" w:color="auto" w:val="clear"/>
            <w:tcMar>
              <w:top w:type="dxa" w:w="40"/>
              <w:left w:type="dxa" w:w="80"/>
              <w:bottom w:type="dxa" w:w="40"/>
              <w:right w:type="dxa" w:w="80"/>
            </w:tcMar>
          </w:tcPr>
          <w:p>
            <w:pPr>
              <w:spacing w:after="40"/>
              <w:jc w:val="left"/>
            </w:pPr>
            <w:r>
              <w:rPr>
                <w:b/>
                <w:bCs/>
                <w:color w:val="FFFFFF"/>
                <w:sz w:val="18"/>
                <w:szCs w:val="18"/>
              </w:rPr>
              <w:t xml:space="preserve">Dir.</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NDVI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 / (NIR + Red)</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GNDVI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Green) / (NIR + Green)</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Green</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NDRE</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RedEdge) / (NIR + RedEdge)</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RedEdge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RVI (SR)</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DVI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SAVI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1.5·(NIR − Red) / (NIR + Red + 0.5)</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OSAVI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 / (NIR + Red + 0.16)</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MSAVI2</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(2N+1 − √((2N+1)² − 8(N−R))) / 2</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EVI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2.5(N−R) / (N + 6R − 7.5B + 1)</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 Blue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EVI2</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2.5(N−R) / (N + 2.4R + 1)</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ARVI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 − (2R − B)) / (N + (2R − B))</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 Blue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GCI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Green − 1</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Green</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RECI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RedEdge − 1</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NIR, RedEdge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MCARI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((RE−R) − 0.2(RE−G))·(RE/R)</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RedEdge, Red, Green</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PSRI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(Red − Green) / RedEdge</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Red, Green, RedEdge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SIPI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(NIR − Blue) / (NIR − Red)</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NIR, Blue,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NDWI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(Green − NIR) / (Green + NIR)</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Green, NIR</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GRVI</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(Green − Red) / (Green + Red)</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Green, Red</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VARI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(Green − Red) / (Green + Red − Blue)</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Green, Red, Blue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ExG</w:t>
            </w:r>
          </w:p>
        </w:tc>
        <w:tc>
          <w:tcPr>
            <w:tcW w:type="dxa" w:w="4300"/>
            <w:shd w:fill="EEF3EC" w:color="auto" w:val="clear"/>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2·Green − Red − Blue</w:t>
            </w:r>
          </w:p>
        </w:tc>
        <w:tc>
          <w:tcPr>
            <w:tcW w:type="dxa" w:w="2400"/>
            <w:shd w:fill="EEF3EC" w:color="auto" w:val="clear"/>
            <w:tcMar>
              <w:top w:type="dxa" w:w="40"/>
              <w:left w:type="dxa" w:w="80"/>
              <w:bottom w:type="dxa" w:w="40"/>
              <w:right w:type="dxa" w:w="80"/>
            </w:tcMar>
          </w:tcPr>
          <w:p>
            <w:pPr>
              <w:spacing w:after="40"/>
              <w:jc w:val="left"/>
            </w:pPr>
            <w:r>
              <w:rPr>
                <w:b w:val="false"/>
                <w:bCs w:val="false"/>
                <w:color w:val="222222"/>
                <w:sz w:val="18"/>
                <w:szCs w:val="18"/>
              </w:rPr>
              <w:t xml:space="preserve">Green, Red, Blue</w:t>
            </w:r>
          </w:p>
        </w:tc>
        <w:tc>
          <w:tcPr>
            <w:tcW w:type="dxa" w:w="826"/>
            <w:shd w:fill="EEF3EC" w:color="auto" w:val="clear"/>
            <w:tcMar>
              <w:top w:type="dxa" w:w="40"/>
              <w:left w:type="dxa" w:w="80"/>
              <w:bottom w:type="dxa" w:w="40"/>
              <w:right w:type="dxa" w:w="80"/>
            </w:tcMar>
          </w:tcPr>
          <w:p>
            <w:pPr>
              <w:spacing w:after="40"/>
              <w:jc w:val="center"/>
            </w:pPr>
            <w:r>
              <w:rPr>
                <w:b w:val="false"/>
                <w:bCs w:val="false"/>
                <w:color w:val="222222"/>
                <w:sz w:val="18"/>
                <w:szCs w:val="18"/>
              </w:rPr>
              <w:t xml:space="preserve">↑</w:t>
            </w:r>
          </w:p>
        </w:tc>
      </w:tr>
      <w:tr>
        <w:tc>
          <w:tcPr>
            <w:tcW w:type="dxa" w:w="1500"/>
            <w:tcMar>
              <w:top w:type="dxa" w:w="40"/>
              <w:left w:type="dxa" w:w="80"/>
              <w:bottom w:type="dxa" w:w="40"/>
              <w:right w:type="dxa" w:w="80"/>
            </w:tcMar>
          </w:tcPr>
          <w:p>
            <w:pPr>
              <w:spacing w:after="40"/>
              <w:jc w:val="left"/>
            </w:pPr>
            <w:r>
              <w:rPr>
                <w:b w:val="false"/>
                <w:bCs w:val="false"/>
                <w:color w:val="222222"/>
                <w:sz w:val="18"/>
                <w:szCs w:val="18"/>
              </w:rPr>
              <w:t xml:space="preserve">TGI</w:t>
            </w:r>
          </w:p>
        </w:tc>
        <w:tc>
          <w:tcPr>
            <w:tcW w:type="dxa" w:w="4300"/>
            <w:tcMar>
              <w:top w:type="dxa" w:w="40"/>
              <w:left w:type="dxa" w:w="80"/>
              <w:bottom w:type="dxa" w:w="40"/>
              <w:right w:type="dxa" w:w="80"/>
            </w:tcMar>
          </w:tcPr>
          <w:p>
            <w:pPr>
              <w:spacing w:after="40"/>
              <w:jc w:val="left"/>
            </w:pPr>
            <w:r>
              <w:rPr>
                <w:rFonts w:ascii="Consolas" w:cs="Consolas" w:eastAsia="Consolas" w:hAnsi="Consolas"/>
                <w:b w:val="false"/>
                <w:bCs w:val="false"/>
                <w:color w:val="222222"/>
                <w:sz w:val="17"/>
                <w:szCs w:val="17"/>
              </w:rPr>
              <w:t xml:space="preserve">Green − 0.39·Red − 0.61·Blue</w:t>
            </w:r>
          </w:p>
        </w:tc>
        <w:tc>
          <w:tcPr>
            <w:tcW w:type="dxa" w:w="2400"/>
            <w:tcMar>
              <w:top w:type="dxa" w:w="40"/>
              <w:left w:type="dxa" w:w="80"/>
              <w:bottom w:type="dxa" w:w="40"/>
              <w:right w:type="dxa" w:w="80"/>
            </w:tcMar>
          </w:tcPr>
          <w:p>
            <w:pPr>
              <w:spacing w:after="40"/>
              <w:jc w:val="left"/>
            </w:pPr>
            <w:r>
              <w:rPr>
                <w:b w:val="false"/>
                <w:bCs w:val="false"/>
                <w:color w:val="222222"/>
                <w:sz w:val="18"/>
                <w:szCs w:val="18"/>
              </w:rPr>
              <w:t xml:space="preserve">Green, Red, Blue</w:t>
            </w:r>
          </w:p>
        </w:tc>
        <w:tc>
          <w:tcPr>
            <w:tcW w:type="dxa" w:w="826"/>
            <w:tcMar>
              <w:top w:type="dxa" w:w="40"/>
              <w:left w:type="dxa" w:w="80"/>
              <w:bottom w:type="dxa" w:w="40"/>
              <w:right w:type="dxa" w:w="80"/>
            </w:tcMar>
          </w:tcPr>
          <w:p>
            <w:pPr>
              <w:spacing w:after="40"/>
              <w:jc w:val="center"/>
            </w:pPr>
            <w:r>
              <w:rPr>
                <w:b w:val="false"/>
                <w:bCs w:val="false"/>
                <w:color w:val="222222"/>
                <w:sz w:val="18"/>
                <w:szCs w:val="18"/>
              </w:rPr>
              <w:t xml:space="preserve">↑</w:t>
            </w:r>
          </w:p>
        </w:tc>
      </w:tr>
    </w:tbl>
    <w:p>
      <w:r>
        <w:br w:type="page"/>
      </w:r>
    </w:p>
    <w:p>
      <w:pPr>
        <w:pStyle w:val="Heading1"/>
        <w:spacing w:after="120" w:before="240"/>
      </w:pPr>
      <w:r>
        <w:t xml:space="preserve">4. Significance of Each Index</w:t>
      </w:r>
    </w:p>
    <w:p>
      <w:pPr>
        <w:pStyle w:val="Heading2"/>
        <w:spacing w:after="100" w:before="200"/>
      </w:pPr>
      <w:r>
        <w:t xml:space="preserve">4.1 Broadband greenness / biomass</w:t>
      </w:r>
    </w:p>
    <w:p>
      <w:pPr>
        <w:pStyle w:val="ListParagraph"/>
        <w:numPr>
          <w:ilvl w:val="0"/>
          <w:numId w:val="1"/>
        </w:numPr>
        <w:spacing w:after="80"/>
      </w:pPr>
      <w:r>
        <w:rPr>
          <w:b/>
          <w:bCs/>
        </w:rPr>
        <w:t xml:space="preserve">NDVI (Normalised Difference Vegetation Index) — </w:t>
      </w:r>
      <w:r>
        <w:t xml:space="preserve">The workhorse of crop remote sensing. Tracks green biomass and canopy vigour; excellent for early-to-mid season and for separating strong vs weak areas. Weakness: it saturates in dense canopies.</w:t>
      </w:r>
    </w:p>
    <w:p>
      <w:pPr>
        <w:pStyle w:val="ListParagraph"/>
        <w:numPr>
          <w:ilvl w:val="0"/>
          <w:numId w:val="1"/>
        </w:numPr>
        <w:spacing w:after="80"/>
      </w:pPr>
      <w:r>
        <w:rPr>
          <w:b/>
          <w:bCs/>
        </w:rPr>
        <w:t xml:space="preserve">RVI (Simple Ratio, NIR/Red) — </w:t>
      </w:r>
      <w:r>
        <w:t xml:space="preserve">The oldest vegetation ratio; increases with green biomass and leaf-area index. More dynamic range than NDVI at high biomass but not bounded, so noisier on sparse cover.</w:t>
      </w:r>
    </w:p>
    <w:p>
      <w:pPr>
        <w:pStyle w:val="ListParagraph"/>
        <w:numPr>
          <w:ilvl w:val="0"/>
          <w:numId w:val="1"/>
        </w:numPr>
        <w:spacing w:after="80"/>
      </w:pPr>
      <w:r>
        <w:rPr>
          <w:b/>
          <w:bCs/>
        </w:rPr>
        <w:t xml:space="preserve">DVI (Difference Vegetation Index) — </w:t>
      </w:r>
      <w:r>
        <w:t xml:space="preserve">A raw biomass proxy (NIR − Red). Simple and sensitive, but because it is not normalised it is affected by brightness and soil — best used relatively within one capture.</w:t>
      </w:r>
    </w:p>
    <w:p>
      <w:pPr>
        <w:pStyle w:val="Heading2"/>
        <w:spacing w:after="100" w:before="200"/>
      </w:pPr>
      <w:r>
        <w:t xml:space="preserve">4.2 Soil-adjusted (suppress bare-soil background)</w:t>
      </w:r>
    </w:p>
    <w:p>
      <w:pPr>
        <w:pStyle w:val="ListParagraph"/>
        <w:numPr>
          <w:ilvl w:val="0"/>
          <w:numId w:val="1"/>
        </w:numPr>
        <w:spacing w:after="80"/>
      </w:pPr>
      <w:r>
        <w:rPr>
          <w:b/>
          <w:bCs/>
        </w:rPr>
        <w:t xml:space="preserve">SAVI (Soil-Adjusted VI) — </w:t>
      </w:r>
      <w:r>
        <w:t xml:space="preserve">NDVI with a soil-brightness correction (L = 0.5). Designed for sparse canopy / early season where bare soil would otherwise distort NDVI.</w:t>
      </w:r>
    </w:p>
    <w:p>
      <w:pPr>
        <w:pStyle w:val="ListParagraph"/>
        <w:numPr>
          <w:ilvl w:val="0"/>
          <w:numId w:val="1"/>
        </w:numPr>
        <w:spacing w:after="80"/>
      </w:pPr>
      <w:r>
        <w:rPr>
          <w:b/>
          <w:bCs/>
        </w:rPr>
        <w:t xml:space="preserve">OSAVI (Optimised SAVI) — </w:t>
      </w:r>
      <w:r>
        <w:t xml:space="preserve">Uses L = 0.16; a good all-round compromise that stays stable across soil types without tuning L.</w:t>
      </w:r>
    </w:p>
    <w:p>
      <w:pPr>
        <w:pStyle w:val="ListParagraph"/>
        <w:numPr>
          <w:ilvl w:val="0"/>
          <w:numId w:val="1"/>
        </w:numPr>
        <w:spacing w:after="80"/>
      </w:pPr>
      <w:r>
        <w:rPr>
          <w:b/>
          <w:bCs/>
        </w:rPr>
        <w:t xml:space="preserve">MSAVI2 (Modified SAVI) — </w:t>
      </w:r>
      <w:r>
        <w:t xml:space="preserve">A self-adjusting soil correction needing no external L parameter, so it behaves well from bare soil through to full canopy.</w:t>
      </w:r>
    </w:p>
    <w:p>
      <w:pPr>
        <w:pStyle w:val="Heading2"/>
        <w:spacing w:after="100" w:before="200"/>
      </w:pPr>
      <w:r>
        <w:t xml:space="preserve">4.3 Atmospherically / background-resistant</w:t>
      </w:r>
    </w:p>
    <w:p>
      <w:pPr>
        <w:pStyle w:val="ListParagraph"/>
        <w:numPr>
          <w:ilvl w:val="0"/>
          <w:numId w:val="1"/>
        </w:numPr>
        <w:spacing w:after="80"/>
      </w:pPr>
      <w:r>
        <w:rPr>
          <w:b/>
          <w:bCs/>
        </w:rPr>
        <w:t xml:space="preserve">EVI (Enhanced VI) — </w:t>
      </w:r>
      <w:r>
        <w:t xml:space="preserve">Adds blue-band atmospheric correction and a canopy-background term. Resists saturation in high-biomass canopies where NDVI flattens.</w:t>
      </w:r>
    </w:p>
    <w:p>
      <w:pPr>
        <w:pStyle w:val="ListParagraph"/>
        <w:numPr>
          <w:ilvl w:val="0"/>
          <w:numId w:val="1"/>
        </w:numPr>
        <w:spacing w:after="80"/>
      </w:pPr>
      <w:r>
        <w:rPr>
          <w:b/>
          <w:bCs/>
        </w:rPr>
        <w:t xml:space="preserve">EVI2 (Two-band EVI) — </w:t>
      </w:r>
      <w:r>
        <w:t xml:space="preserve">An EVI approximation that drops the blue band, usable when only red and NIR are available while keeping much of EVI's anti-saturation benefit.</w:t>
      </w:r>
    </w:p>
    <w:p>
      <w:pPr>
        <w:pStyle w:val="ListParagraph"/>
        <w:numPr>
          <w:ilvl w:val="0"/>
          <w:numId w:val="1"/>
        </w:numPr>
        <w:spacing w:after="80"/>
      </w:pPr>
      <w:r>
        <w:rPr>
          <w:b/>
          <w:bCs/>
        </w:rPr>
        <w:t xml:space="preserve">ARVI (Atmospherically Resistant VI) — </w:t>
      </w:r>
      <w:r>
        <w:t xml:space="preserve">Corrects the red band using the blue band to cancel haze/aerosol effects — valuable for hazy-day or satellite-style captures.</w:t>
      </w:r>
    </w:p>
    <w:p>
      <w:pPr>
        <w:pStyle w:val="Heading2"/>
        <w:spacing w:after="100" w:before="200"/>
      </w:pPr>
      <w:r>
        <w:t xml:space="preserve">4.4 Chlorophyll / nitrogen</w:t>
      </w:r>
    </w:p>
    <w:p>
      <w:pPr>
        <w:pStyle w:val="ListParagraph"/>
        <w:numPr>
          <w:ilvl w:val="0"/>
          <w:numId w:val="1"/>
        </w:numPr>
        <w:spacing w:after="80"/>
      </w:pPr>
      <w:r>
        <w:rPr>
          <w:b/>
          <w:bCs/>
        </w:rPr>
        <w:t xml:space="preserve">GNDVI (Green NDVI) — </w:t>
      </w:r>
      <w:r>
        <w:t xml:space="preserve">Swaps red for green; more sensitive to chlorophyll and nitrogen and stays responsive at higher leaf area than NDVI.</w:t>
      </w:r>
    </w:p>
    <w:p>
      <w:pPr>
        <w:pStyle w:val="ListParagraph"/>
        <w:numPr>
          <w:ilvl w:val="0"/>
          <w:numId w:val="1"/>
        </w:numPr>
        <w:spacing w:after="80"/>
      </w:pPr>
      <w:r>
        <w:rPr>
          <w:b/>
          <w:bCs/>
        </w:rPr>
        <w:t xml:space="preserve">NDRE (Normalised Difference Red-Edge) — </w:t>
      </w:r>
      <w:r>
        <w:t xml:space="preserve">Uses the red-edge band, which penetrates dense canopy. The go-to index for chlorophyll/N status in mature, closed canopies where NDVI has saturated; often flags nutrient issues before they are visible.</w:t>
      </w:r>
    </w:p>
    <w:p>
      <w:pPr>
        <w:pStyle w:val="ListParagraph"/>
        <w:numPr>
          <w:ilvl w:val="0"/>
          <w:numId w:val="1"/>
        </w:numPr>
        <w:spacing w:after="80"/>
      </w:pPr>
      <w:r>
        <w:rPr>
          <w:b/>
          <w:bCs/>
        </w:rPr>
        <w:t xml:space="preserve">GCI (Green Chlorophyll Index) — </w:t>
      </w:r>
      <w:r>
        <w:t xml:space="preserve">NIR/Green − 1; scales with leaf chlorophyll content, a good proxy for photosynthetic capacity and nitrogen.</w:t>
      </w:r>
    </w:p>
    <w:p>
      <w:pPr>
        <w:pStyle w:val="ListParagraph"/>
        <w:numPr>
          <w:ilvl w:val="0"/>
          <w:numId w:val="1"/>
        </w:numPr>
        <w:spacing w:after="80"/>
      </w:pPr>
      <w:r>
        <w:rPr>
          <w:b/>
          <w:bCs/>
        </w:rPr>
        <w:t xml:space="preserve">RECI (Red-Edge Chlorophyll Index) — </w:t>
      </w:r>
      <w:r>
        <w:t xml:space="preserve">NIR/RedEdge − 1; one of the strongest nitrogen indicators, driving the “investigate nitrogen status” action.</w:t>
      </w:r>
    </w:p>
    <w:p>
      <w:pPr>
        <w:pStyle w:val="ListParagraph"/>
        <w:numPr>
          <w:ilvl w:val="0"/>
          <w:numId w:val="1"/>
        </w:numPr>
        <w:spacing w:after="80"/>
      </w:pPr>
      <w:r>
        <w:rPr>
          <w:b/>
          <w:bCs/>
        </w:rPr>
        <w:t xml:space="preserve">MCARI (Modified Chlorophyll Absorption Ratio Index) — </w:t>
      </w:r>
      <w:r>
        <w:t xml:space="preserve">Targets the depth of chlorophyll absorption; drops during chlorosis, so low MCARI signals yellowing / pigment loss.</w:t>
      </w:r>
    </w:p>
    <w:p>
      <w:pPr>
        <w:pStyle w:val="Heading2"/>
        <w:spacing w:after="100" w:before="200"/>
      </w:pPr>
      <w:r>
        <w:t xml:space="preserve">4.5 Stress / senescence</w:t>
      </w:r>
    </w:p>
    <w:p>
      <w:pPr>
        <w:pStyle w:val="ListParagraph"/>
        <w:numPr>
          <w:ilvl w:val="0"/>
          <w:numId w:val="1"/>
        </w:numPr>
        <w:spacing w:after="80"/>
      </w:pPr>
      <w:r>
        <w:rPr>
          <w:b/>
          <w:bCs/>
        </w:rPr>
        <w:t xml:space="preserve">PSRI (Plant Senescence Reflectance Index) — </w:t>
      </w:r>
      <w:r>
        <w:t xml:space="preserve">High values mean senescing or stressed tissue (carotenoid-to-chlorophyll ratio rising). Distinguishes healthy green tissue from ageing/stressed tissue.</w:t>
      </w:r>
    </w:p>
    <w:p>
      <w:pPr>
        <w:pStyle w:val="ListParagraph"/>
        <w:numPr>
          <w:ilvl w:val="0"/>
          <w:numId w:val="1"/>
        </w:numPr>
        <w:spacing w:after="80"/>
      </w:pPr>
      <w:r>
        <w:rPr>
          <w:b/>
          <w:bCs/>
        </w:rPr>
        <w:t xml:space="preserve">SIPI (Structure-Insensitive Pigment Index) — </w:t>
      </w:r>
      <w:r>
        <w:t xml:space="preserve">Ratio of total carotenoids to chlorophyll while cancelling canopy-structure effects. Rises with pigment stress — useful for disease/nutrient stress independent of biomass.</w:t>
      </w:r>
    </w:p>
    <w:p>
      <w:pPr>
        <w:pStyle w:val="Heading2"/>
        <w:spacing w:after="100" w:before="200"/>
      </w:pPr>
      <w:r>
        <w:t xml:space="preserve">4.6 Water</w:t>
      </w:r>
    </w:p>
    <w:p>
      <w:pPr>
        <w:pStyle w:val="ListParagraph"/>
        <w:numPr>
          <w:ilvl w:val="0"/>
          <w:numId w:val="1"/>
        </w:numPr>
        <w:spacing w:after="80"/>
      </w:pPr>
      <w:r>
        <w:rPr>
          <w:b/>
          <w:bCs/>
        </w:rPr>
        <w:t xml:space="preserve">NDWI (green NDWI, McFeeters) — </w:t>
      </w:r>
      <w:r>
        <w:t xml:space="preserve">(Green − NIR)/(Green + NIR). High values indicate open water / waterlogging; elevated patches in a field flag standing water or drainage/irrigation problems.</w:t>
      </w:r>
    </w:p>
    <w:p>
      <w:pPr>
        <w:pStyle w:val="Heading2"/>
        <w:spacing w:after="100" w:before="200"/>
      </w:pPr>
      <w:r>
        <w:t xml:space="preserve">4.7 RGB-only (no NIR required)</w:t>
      </w:r>
    </w:p>
    <w:p>
      <w:pPr>
        <w:pStyle w:val="ListParagraph"/>
        <w:numPr>
          <w:ilvl w:val="0"/>
          <w:numId w:val="1"/>
        </w:numPr>
        <w:spacing w:after="80"/>
      </w:pPr>
      <w:r>
        <w:rPr>
          <w:b/>
          <w:bCs/>
        </w:rPr>
        <w:t xml:space="preserve">GRVI / NGRDI (Green-Red VI) — </w:t>
      </w:r>
      <w:r>
        <w:t xml:space="preserve">Greenness from an ordinary RGB camera; a practical vigour proxy when no multispectral sensor is available.</w:t>
      </w:r>
    </w:p>
    <w:p>
      <w:pPr>
        <w:pStyle w:val="ListParagraph"/>
        <w:numPr>
          <w:ilvl w:val="0"/>
          <w:numId w:val="1"/>
        </w:numPr>
        <w:spacing w:after="80"/>
      </w:pPr>
      <w:r>
        <w:rPr>
          <w:b/>
          <w:bCs/>
        </w:rPr>
        <w:t xml:space="preserve">VARI (Visible Atmospherically Resistant Index) — </w:t>
      </w:r>
      <w:r>
        <w:t xml:space="preserve">Adds blue-band correction to the green-red contrast, giving a more robust canopy-cover estimate from RGB.</w:t>
      </w:r>
    </w:p>
    <w:p>
      <w:pPr>
        <w:pStyle w:val="ListParagraph"/>
        <w:numPr>
          <w:ilvl w:val="0"/>
          <w:numId w:val="1"/>
        </w:numPr>
        <w:spacing w:after="80"/>
      </w:pPr>
      <w:r>
        <w:rPr>
          <w:b/>
          <w:bCs/>
        </w:rPr>
        <w:t xml:space="preserve">ExG (Excess Green) — </w:t>
      </w:r>
      <w:r>
        <w:t xml:space="preserve">2G − R − B; a classic segmentation index that cleanly separates green canopy from soil/residue in RGB imagery.</w:t>
      </w:r>
    </w:p>
    <w:p>
      <w:pPr>
        <w:pStyle w:val="ListParagraph"/>
        <w:numPr>
          <w:ilvl w:val="0"/>
          <w:numId w:val="1"/>
        </w:numPr>
        <w:spacing w:after="80"/>
      </w:pPr>
      <w:r>
        <w:rPr>
          <w:b/>
          <w:bCs/>
        </w:rPr>
        <w:t xml:space="preserve">TGI (Triangular Greenness Index) — </w:t>
      </w:r>
      <w:r>
        <w:t xml:space="preserve">Approximates chlorophyll content from the visible bands only, making a rough chlorophyll read possible without NIR.</w:t>
      </w:r>
    </w:p>
    <w:p>
      <w:pPr>
        <w:pStyle w:val="Heading1"/>
        <w:spacing w:after="120" w:before="240"/>
      </w:pPr>
      <w:r>
        <w:t xml:space="preserve">5. How AgriVision Uses the Indices</w:t>
      </w:r>
    </w:p>
    <w:p>
      <w:pPr>
        <w:spacing w:after="120"/>
      </w:pPr>
      <w:r>
        <w:t xml:space="preserve">The multispectral module computes every index the available bands support, then turns them into decision support:</w:t>
      </w:r>
    </w:p>
    <w:p>
      <w:pPr>
        <w:pStyle w:val="ListParagraph"/>
        <w:numPr>
          <w:ilvl w:val="0"/>
          <w:numId w:val="1"/>
        </w:numPr>
        <w:spacing w:after="80"/>
      </w:pPr>
      <w:r>
        <w:rPr>
          <w:b/>
          <w:bCs/>
        </w:rPr>
        <w:t xml:space="preserve">Health score: </w:t>
      </w:r>
      <w:r>
        <w:t xml:space="preserve">the mean of the primary index is normalised over its range to a 0–100 score (≥ 70 healthy, ≥ 45 moderate, else poor).</w:t>
      </w:r>
    </w:p>
    <w:p>
      <w:pPr>
        <w:pStyle w:val="ListParagraph"/>
        <w:numPr>
          <w:ilvl w:val="0"/>
          <w:numId w:val="1"/>
        </w:numPr>
        <w:spacing w:after="80"/>
      </w:pPr>
      <w:r>
        <w:rPr>
          <w:b/>
          <w:bCs/>
        </w:rPr>
        <w:t xml:space="preserve">Risk zoning: </w:t>
      </w:r>
      <w:r>
        <w:t xml:space="preserve">K-means (k = 3) clusters the primary index into HIGH / MEDIUM / LOW risk regions. For a “higher-is-healthier” index the lowest cluster is the highest risk; for a stress index it inverts.</w:t>
      </w:r>
    </w:p>
    <w:p>
      <w:pPr>
        <w:pStyle w:val="ListParagraph"/>
        <w:numPr>
          <w:ilvl w:val="0"/>
          <w:numId w:val="1"/>
        </w:numPr>
        <w:spacing w:after="80"/>
      </w:pPr>
      <w:r>
        <w:rPr>
          <w:b/>
          <w:bCs/>
        </w:rPr>
        <w:t xml:space="preserve">Issue flags: </w:t>
      </w:r>
      <w:r>
        <w:t xml:space="preserve">low red-edge/green chlorophyll (NDRE, GCI, RECI) → possible nitrogen deficiency; elevated NDWI → possible waterlogging; high PSRI → senescence/stress; low NDVI/SAVI/OSAVI → low vigour; high NDVI variance → patchy growth.</w:t>
      </w:r>
    </w:p>
    <w:p>
      <w:pPr>
        <w:pStyle w:val="ListParagraph"/>
        <w:numPr>
          <w:ilvl w:val="0"/>
          <w:numId w:val="1"/>
        </w:numPr>
        <w:spacing w:after="80"/>
      </w:pPr>
      <w:r>
        <w:rPr>
          <w:b/>
          <w:bCs/>
        </w:rPr>
        <w:t xml:space="preserve">Action plan: </w:t>
      </w:r>
      <w:r>
        <w:t xml:space="preserve">each flag maps to a prioritised, ground-truth-first recommendation shown to the operator.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4D38"/>
      <w:sz w:val="30"/>
      <w:szCs w:val="30"/>
    </w:rPr>
  </w:style>
  <w:style w:type="paragraph" w:styleId="Heading2">
    <w:name w:val="Heading 2"/>
    <w:basedOn w:val="Normal"/>
    <w:next w:val="Normal"/>
    <w:qFormat/>
    <w:pPr>
      <w:spacing w:after="100" w:before="200"/>
      <w:outlineLvl w:val="1"/>
    </w:pPr>
    <w:rPr>
      <w:b/>
      <w:bCs/>
      <w:color w:val="2E6B4E"/>
      <w:sz w:val="25"/>
      <w:szCs w:val="25"/>
    </w:rPr>
  </w:style>
  <w:style w:type="paragraph" w:styleId="Heading3">
    <w:name w:val="Heading 3"/>
    <w:basedOn w:val="Normal"/>
    <w:next w:val="Normal"/>
    <w:qFormat/>
    <w:pPr>
      <w:spacing w:after="80" w:before="160"/>
      <w:outlineLvl w:val="2"/>
    </w:pPr>
    <w:rPr>
      <w:b/>
      <w:bCs/>
      <w:color w:val="3A4A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2026-07-25T09:09:23.560Z</dcterms:created>
  <dcterms:modified xsi:type="dcterms:W3CDTF">2026-07-25T09:09:23.560Z</dcterms:modified>
</cp:coreProperties>
</file>

<file path=docProps/custom.xml><?xml version="1.0" encoding="utf-8"?>
<Properties xmlns="http://schemas.openxmlformats.org/officeDocument/2006/custom-properties" xmlns:vt="http://schemas.openxmlformats.org/officeDocument/2006/docPropsVTypes"/>
</file>