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819AF">
      <w:pPr>
        <w:pStyle w:val="36"/>
        <w:rPr>
          <w:rFonts w:hint="default" w:ascii="Calibri" w:hAnsi="Calibri" w:cs="Calibri"/>
        </w:rPr>
      </w:pPr>
      <w:r>
        <w:rPr>
          <w:rFonts w:hint="default" w:ascii="Calibri" w:hAnsi="Calibri" w:cs="Calibri"/>
        </w:rPr>
        <w:t>KOHI DOJO WEBSITE</w:t>
      </w:r>
    </w:p>
    <w:p w14:paraId="33B9480D">
      <w:pPr>
        <w:rPr>
          <w:rFonts w:hint="default" w:ascii="Calibri" w:hAnsi="Calibri" w:cs="Calibri"/>
        </w:rPr>
      </w:pPr>
      <w:r>
        <w:rPr>
          <w:rFonts w:hint="default" w:ascii="Calibri" w:hAnsi="Calibri" w:cs="Calibri"/>
        </w:rPr>
        <w:t>Urgent Update &amp; Ink&amp;Motion Portfolio Development Brief</w:t>
      </w:r>
    </w:p>
    <w:p w14:paraId="1538C4B5">
      <w:pPr>
        <w:rPr>
          <w:rFonts w:hint="default" w:ascii="Calibri" w:hAnsi="Calibri" w:cs="Calibri"/>
        </w:rPr>
      </w:pPr>
      <w:r>
        <w:rPr>
          <w:rFonts w:hint="default" w:ascii="Calibri" w:hAnsi="Calibri" w:cs="Calibri"/>
        </w:rPr>
        <w:t>Prepared for: Website Developer  |  Requested completion: 26 October 2026  |  Version: 1.0</w:t>
      </w:r>
      <w:bookmarkStart w:id="0" w:name="_GoBack"/>
      <w:bookmarkEnd w:id="0"/>
    </w:p>
    <w:p w14:paraId="65012301">
      <w:pPr>
        <w:rPr>
          <w:rFonts w:hint="default" w:ascii="Calibri" w:hAnsi="Calibri" w:cs="Calibri"/>
        </w:rPr>
      </w:pPr>
      <w:r>
        <w:rPr>
          <w:rFonts w:hint="default" w:ascii="Calibri" w:hAnsi="Calibri" w:cs="Calibri"/>
        </w:rPr>
        <w:t>Purpose: Correct all public event information before The Next Frame, maintain sponsor-facing credibility, and launch an expandable Ink&amp;Motion production portfolio ahead of the 1 January 2027 Aba Chronicles preview.</w:t>
      </w:r>
    </w:p>
    <w:p w14:paraId="0BFF155C">
      <w:pPr>
        <w:pStyle w:val="2"/>
        <w:rPr>
          <w:rFonts w:hint="default" w:ascii="Calibri" w:hAnsi="Calibri" w:cs="Calibri"/>
        </w:rPr>
      </w:pPr>
      <w:r>
        <w:rPr>
          <w:rFonts w:hint="default" w:ascii="Calibri" w:hAnsi="Calibri" w:cs="Calibri"/>
        </w:rPr>
        <w:t>1 | Priorities &amp; delivery</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5BC73CB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F514CAA">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Priority</w:t>
            </w:r>
          </w:p>
        </w:tc>
        <w:tc>
          <w:tcPr>
            <w:tcW w:w="2880" w:type="dxa"/>
          </w:tcPr>
          <w:p w14:paraId="624A4720">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Scope</w:t>
            </w:r>
          </w:p>
        </w:tc>
        <w:tc>
          <w:tcPr>
            <w:tcW w:w="2880" w:type="dxa"/>
          </w:tcPr>
          <w:p w14:paraId="1E549DCC">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Acceptance target</w:t>
            </w:r>
          </w:p>
        </w:tc>
      </w:tr>
      <w:tr w14:paraId="7F808EC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43366F00">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P0 / urgent</w:t>
            </w:r>
          </w:p>
        </w:tc>
        <w:tc>
          <w:tcPr>
            <w:tcW w:w="2880" w:type="dxa"/>
          </w:tcPr>
          <w:p w14:paraId="6643ECE1">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Event date, venue, passes, checkout, Cantaball copy</w:t>
            </w:r>
          </w:p>
        </w:tc>
        <w:tc>
          <w:tcPr>
            <w:tcW w:w="2880" w:type="dxa"/>
          </w:tcPr>
          <w:p w14:paraId="47AC43CC">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Published and tested by 26 Oct</w:t>
            </w:r>
          </w:p>
        </w:tc>
      </w:tr>
      <w:tr w14:paraId="38DCC23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078D020">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P1 / urgent</w:t>
            </w:r>
          </w:p>
        </w:tc>
        <w:tc>
          <w:tcPr>
            <w:tcW w:w="2880" w:type="dxa"/>
          </w:tcPr>
          <w:p w14:paraId="7EBEF5B5">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Ink&amp;Motion portfolio landing page and initial project entries</w:t>
            </w:r>
          </w:p>
        </w:tc>
        <w:tc>
          <w:tcPr>
            <w:tcW w:w="2880" w:type="dxa"/>
          </w:tcPr>
          <w:p w14:paraId="3473076A">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Published by 26 Oct; initial approved assets supplied by team</w:t>
            </w:r>
          </w:p>
        </w:tc>
      </w:tr>
      <w:tr w14:paraId="7FB576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2790623">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P1</w:t>
            </w:r>
          </w:p>
        </w:tc>
        <w:tc>
          <w:tcPr>
            <w:tcW w:w="2880" w:type="dxa"/>
          </w:tcPr>
          <w:p w14:paraId="6AB668FB">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Sponsor/partnership section and mobile navigation</w:t>
            </w:r>
          </w:p>
        </w:tc>
        <w:tc>
          <w:tcPr>
            <w:tcW w:w="2880" w:type="dxa"/>
          </w:tcPr>
          <w:p w14:paraId="5A6509A5">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Published by 26 Oct</w:t>
            </w:r>
          </w:p>
        </w:tc>
      </w:tr>
      <w:tr w14:paraId="74E5B1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FCFB35A">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P2 / follow-on</w:t>
            </w:r>
          </w:p>
        </w:tc>
        <w:tc>
          <w:tcPr>
            <w:tcW w:w="2880" w:type="dxa"/>
          </w:tcPr>
          <w:p w14:paraId="7FBCFD25">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Advanced animator profiles, filtering, rich project timelines and content automation</w:t>
            </w:r>
          </w:p>
        </w:tc>
        <w:tc>
          <w:tcPr>
            <w:tcW w:w="2880" w:type="dxa"/>
          </w:tcPr>
          <w:p w14:paraId="1FC35351">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Phase after initial launch if time constrained</w:t>
            </w:r>
          </w:p>
        </w:tc>
      </w:tr>
    </w:tbl>
    <w:p w14:paraId="2F7EF304">
      <w:pPr>
        <w:rPr>
          <w:rFonts w:hint="default" w:ascii="Calibri" w:hAnsi="Calibri" w:cs="Calibri"/>
        </w:rPr>
      </w:pPr>
    </w:p>
    <w:p w14:paraId="329600D7">
      <w:pPr>
        <w:rPr>
          <w:rFonts w:hint="default" w:ascii="Calibri" w:hAnsi="Calibri" w:cs="Calibri"/>
        </w:rPr>
      </w:pPr>
      <w:r>
        <w:rPr>
          <w:rFonts w:hint="default" w:ascii="Calibri" w:hAnsi="Calibri" w:cs="Calibri"/>
        </w:rPr>
        <w:t>Do not publish placeholder benefits, unavailable media, fabricated partner logos or unsupported event claims. Keep existing working site features intact.</w:t>
      </w:r>
    </w:p>
    <w:p w14:paraId="31BAAFFF">
      <w:pPr>
        <w:pStyle w:val="2"/>
        <w:rPr>
          <w:rFonts w:hint="default" w:ascii="Calibri" w:hAnsi="Calibri" w:cs="Calibri"/>
        </w:rPr>
      </w:pPr>
      <w:r>
        <w:rPr>
          <w:rFonts w:hint="default" w:ascii="Calibri" w:hAnsi="Calibri" w:cs="Calibri"/>
        </w:rPr>
        <w:t>2 | The Next Frame — confirmed details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42C799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CCE3AEE">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Field</w:t>
            </w:r>
          </w:p>
        </w:tc>
        <w:tc>
          <w:tcPr>
            <w:tcW w:w="4320" w:type="dxa"/>
          </w:tcPr>
          <w:p w14:paraId="72D98473">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Required public value</w:t>
            </w:r>
          </w:p>
        </w:tc>
      </w:tr>
      <w:tr w14:paraId="6B3E45C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0972503E">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Event</w:t>
            </w:r>
          </w:p>
        </w:tc>
        <w:tc>
          <w:tcPr>
            <w:tcW w:w="4320" w:type="dxa"/>
          </w:tcPr>
          <w:p w14:paraId="2701CF19">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The Next Frame</w:t>
            </w:r>
          </w:p>
        </w:tc>
      </w:tr>
      <w:tr w14:paraId="06F985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0183299E">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Date</w:t>
            </w:r>
          </w:p>
        </w:tc>
        <w:tc>
          <w:tcPr>
            <w:tcW w:w="4320" w:type="dxa"/>
          </w:tcPr>
          <w:p w14:paraId="7DD2C42B">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Saturday, 31 October 2026</w:t>
            </w:r>
          </w:p>
        </w:tc>
      </w:tr>
      <w:tr w14:paraId="79BB756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91F536C">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Venue</w:t>
            </w:r>
          </w:p>
        </w:tc>
        <w:tc>
          <w:tcPr>
            <w:tcW w:w="4320" w:type="dxa"/>
          </w:tcPr>
          <w:p w14:paraId="1F556CCB">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El Dorado, Aba</w:t>
            </w:r>
          </w:p>
        </w:tc>
      </w:tr>
      <w:tr w14:paraId="3E7E28A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CD20E38">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Pass checkout</w:t>
            </w:r>
          </w:p>
        </w:tc>
        <w:tc>
          <w:tcPr>
            <w:tcW w:w="4320" w:type="dxa"/>
          </w:tcPr>
          <w:p w14:paraId="46EDEAE1">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Retain and update the existing website checkout</w:t>
            </w:r>
          </w:p>
        </w:tc>
      </w:tr>
      <w:tr w14:paraId="25E6B6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B736873">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Cantaball on event day</w:t>
            </w:r>
          </w:p>
        </w:tc>
        <w:tc>
          <w:tcPr>
            <w:tcW w:w="4320" w:type="dxa"/>
          </w:tcPr>
          <w:p w14:paraId="4432DB80">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Short, one-off mini-tournaments; free entry for registered pass holders, subject to slots</w:t>
            </w:r>
          </w:p>
        </w:tc>
      </w:tr>
      <w:tr w14:paraId="3C7308D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5B02C89">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Cantaball World Cup</w:t>
            </w:r>
          </w:p>
        </w:tc>
        <w:tc>
          <w:tcPr>
            <w:tcW w:w="4320" w:type="dxa"/>
          </w:tcPr>
          <w:p w14:paraId="24942349">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Coming Soon — Games Weekend, 20–22 November 2026</w:t>
            </w:r>
          </w:p>
        </w:tc>
      </w:tr>
    </w:tbl>
    <w:p w14:paraId="6E4B89A8">
      <w:pPr>
        <w:rPr>
          <w:rFonts w:hint="default" w:ascii="Calibri" w:hAnsi="Calibri" w:cs="Calibri"/>
        </w:rPr>
      </w:pPr>
    </w:p>
    <w:p w14:paraId="3D7B9788">
      <w:pPr>
        <w:rPr>
          <w:rFonts w:hint="default" w:ascii="Calibri" w:hAnsi="Calibri" w:cs="Calibri"/>
        </w:rPr>
      </w:pPr>
      <w:r>
        <w:rPr>
          <w:rFonts w:hint="default" w:ascii="Calibri" w:hAnsi="Calibri" w:cs="Calibri"/>
        </w:rPr>
        <w:t>Update homepage banners, hero text, event pages, countdowns, metadata, FAQs, ticket cards, confirmation messages, social share previews, navigation and all hard-coded October 17 references. Verify other historical dates before removing them.</w:t>
      </w:r>
    </w:p>
    <w:p w14:paraId="0D87AB9F">
      <w:pPr>
        <w:pStyle w:val="2"/>
        <w:rPr>
          <w:rFonts w:hint="default" w:ascii="Calibri" w:hAnsi="Calibri" w:cs="Calibri"/>
        </w:rPr>
      </w:pPr>
      <w:r>
        <w:rPr>
          <w:rFonts w:hint="default" w:ascii="Calibri" w:hAnsi="Calibri" w:cs="Calibri"/>
        </w:rPr>
        <w:t>3 | Experience-pass catalogue</w:t>
      </w:r>
    </w:p>
    <w:p w14:paraId="5FEC882D">
      <w:pPr>
        <w:rPr>
          <w:rFonts w:hint="default" w:ascii="Calibri" w:hAnsi="Calibri" w:cs="Calibri"/>
        </w:rPr>
      </w:pPr>
      <w:r>
        <w:rPr>
          <w:rFonts w:hint="default" w:ascii="Calibri" w:hAnsi="Calibri" w:cs="Calibri"/>
        </w:rPr>
        <w:t>The following benefits are PROPOSED FOR ORGANISER APPROVAL. Prices and tier names are confirmed; entitlements are not yet approved. Do not publish benefits as guaranteed until signed off.</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6C4B5D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FBF707A">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Pass</w:t>
            </w:r>
          </w:p>
        </w:tc>
        <w:tc>
          <w:tcPr>
            <w:tcW w:w="2880" w:type="dxa"/>
          </w:tcPr>
          <w:p w14:paraId="7E6F055B">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Price</w:t>
            </w:r>
          </w:p>
        </w:tc>
        <w:tc>
          <w:tcPr>
            <w:tcW w:w="2880" w:type="dxa"/>
          </w:tcPr>
          <w:p w14:paraId="17A414EC">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Recommended benefit proposition</w:t>
            </w:r>
          </w:p>
        </w:tc>
      </w:tr>
      <w:tr w14:paraId="3350A0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F456FDB">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Explorer</w:t>
            </w:r>
          </w:p>
        </w:tc>
        <w:tc>
          <w:tcPr>
            <w:tcW w:w="2880" w:type="dxa"/>
          </w:tcPr>
          <w:p w14:paraId="179E6E49">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FREE</w:t>
            </w:r>
          </w:p>
        </w:tc>
        <w:tc>
          <w:tcPr>
            <w:tcW w:w="2880" w:type="dxa"/>
          </w:tcPr>
          <w:p w14:paraId="08263815">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1 admission; public exhibitions, selected demonstrations and general activities; eligible for free Cantaball mini-tournament slots.</w:t>
            </w:r>
          </w:p>
        </w:tc>
      </w:tr>
      <w:tr w14:paraId="63E6D5E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B0D82C8">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Community</w:t>
            </w:r>
          </w:p>
        </w:tc>
        <w:tc>
          <w:tcPr>
            <w:tcW w:w="2880" w:type="dxa"/>
          </w:tcPr>
          <w:p w14:paraId="492A951D">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₦1,000</w:t>
            </w:r>
          </w:p>
        </w:tc>
        <w:tc>
          <w:tcPr>
            <w:tcW w:w="2880" w:type="dxa"/>
          </w:tcPr>
          <w:p w14:paraId="06809B71">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1 admission; Explorer benefits; selected community game access; digital event souvenir.</w:t>
            </w:r>
          </w:p>
        </w:tc>
      </w:tr>
      <w:tr w14:paraId="2719F5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09FA8F0B">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Creator</w:t>
            </w:r>
          </w:p>
        </w:tc>
        <w:tc>
          <w:tcPr>
            <w:tcW w:w="2880" w:type="dxa"/>
          </w:tcPr>
          <w:p w14:paraId="44BFAE46">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₦2,000</w:t>
            </w:r>
          </w:p>
        </w:tc>
        <w:tc>
          <w:tcPr>
            <w:tcW w:w="2880" w:type="dxa"/>
          </w:tcPr>
          <w:p w14:paraId="7AEDE2B6">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1 admission; Community benefits; one scheduled Ink&amp;Motion mini-workshop/demo; digital resource pack; one small refreshment.</w:t>
            </w:r>
          </w:p>
        </w:tc>
      </w:tr>
      <w:tr w14:paraId="7EDC643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0A39A798">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Couple</w:t>
            </w:r>
          </w:p>
        </w:tc>
        <w:tc>
          <w:tcPr>
            <w:tcW w:w="2880" w:type="dxa"/>
          </w:tcPr>
          <w:p w14:paraId="6C4BC42A">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₦3,000</w:t>
            </w:r>
          </w:p>
        </w:tc>
        <w:tc>
          <w:tcPr>
            <w:tcW w:w="2880" w:type="dxa"/>
          </w:tcPr>
          <w:p w14:paraId="1FB349E5">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2 admissions; Community-level benefits for both; one shared café treat; event photo spot.</w:t>
            </w:r>
          </w:p>
        </w:tc>
      </w:tr>
      <w:tr w14:paraId="0B78AD4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CF9CC81">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Family</w:t>
            </w:r>
          </w:p>
        </w:tc>
        <w:tc>
          <w:tcPr>
            <w:tcW w:w="2880" w:type="dxa"/>
          </w:tcPr>
          <w:p w14:paraId="756F87ED">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₦5,000</w:t>
            </w:r>
          </w:p>
        </w:tc>
        <w:tc>
          <w:tcPr>
            <w:tcW w:w="2880" w:type="dxa"/>
          </w:tcPr>
          <w:p w14:paraId="60267762">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Up to 4 admissions (maximum 2 adults); Community-level benefits; family activity; one shared snack bundle; family photo spot.</w:t>
            </w:r>
          </w:p>
        </w:tc>
      </w:tr>
      <w:tr w14:paraId="46DEE6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737D17F">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VVIP</w:t>
            </w:r>
          </w:p>
        </w:tc>
        <w:tc>
          <w:tcPr>
            <w:tcW w:w="2880" w:type="dxa"/>
          </w:tcPr>
          <w:p w14:paraId="73A7202E">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₦10,000</w:t>
            </w:r>
          </w:p>
        </w:tc>
        <w:tc>
          <w:tcPr>
            <w:tcW w:w="2880" w:type="dxa"/>
          </w:tcPr>
          <w:p w14:paraId="26DFA402">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1 admission; priority check-in; reserved seating where feasible; premium refreshment combo; scheduled Ink&amp;Motion interaction; digital souvenir.</w:t>
            </w:r>
          </w:p>
        </w:tc>
      </w:tr>
    </w:tbl>
    <w:p w14:paraId="428B30AF">
      <w:pPr>
        <w:rPr>
          <w:rFonts w:hint="default" w:ascii="Calibri" w:hAnsi="Calibri" w:cs="Calibri"/>
        </w:rPr>
      </w:pPr>
    </w:p>
    <w:p w14:paraId="057EC7D3">
      <w:pPr>
        <w:rPr>
          <w:rFonts w:hint="default" w:ascii="Calibri" w:hAnsi="Calibri" w:cs="Calibri"/>
        </w:rPr>
      </w:pPr>
      <w:r>
        <w:rPr>
          <w:rFonts w:hint="default" w:ascii="Calibri" w:hAnsi="Calibri" w:cs="Calibri"/>
        </w:rPr>
        <w:t>Operational guardrails: show quantity of admissions; specify actual food portions before publication; reserve workshop/VVIP capacity; display subject-to-availability language; free Explorer checkout must create a valid registration/confirmation without charging ₦0 processing fees. Never promise guaranteed tournament participation where slots are limited.</w:t>
      </w:r>
    </w:p>
    <w:p w14:paraId="098B3EEE">
      <w:pPr>
        <w:pStyle w:val="2"/>
        <w:rPr>
          <w:rFonts w:hint="default" w:ascii="Calibri" w:hAnsi="Calibri" w:cs="Calibri"/>
        </w:rPr>
      </w:pPr>
      <w:r>
        <w:rPr>
          <w:rFonts w:hint="default" w:ascii="Calibri" w:hAnsi="Calibri" w:cs="Calibri"/>
        </w:rPr>
        <w:t>4 | Ticketing &amp; checkout QA</w:t>
      </w:r>
    </w:p>
    <w:p w14:paraId="0F2FC235">
      <w:pPr>
        <w:rPr>
          <w:rFonts w:hint="default" w:ascii="Calibri" w:hAnsi="Calibri" w:cs="Calibri"/>
        </w:rPr>
      </w:pPr>
      <w:r>
        <w:rPr>
          <w:rFonts w:hint="default" w:ascii="Calibri" w:hAnsi="Calibri" w:cs="Calibri"/>
        </w:rPr>
        <w:t>Retain existing checkout and update six SKUs/tier cards. Each order must capture pass type, quantity, purchaser name, email and phone; issue confirmation/reference; enforce per-order limits and capacity if supported; clearly distinguish free registrations from paid purchases. Test free registration, successful payment, failed/cancelled payment, duplicate submissions, mobile checkout and organiser export. Verify the actual payment provider before changing payment logic.</w:t>
      </w:r>
    </w:p>
    <w:p w14:paraId="027B0ECF">
      <w:pPr>
        <w:pStyle w:val="2"/>
        <w:rPr>
          <w:rFonts w:hint="default" w:ascii="Calibri" w:hAnsi="Calibri" w:cs="Calibri"/>
        </w:rPr>
      </w:pPr>
      <w:r>
        <w:rPr>
          <w:rFonts w:hint="default" w:ascii="Calibri" w:hAnsi="Calibri" w:cs="Calibri"/>
        </w:rPr>
        <w:t>5 | Cantaball programming</w:t>
      </w:r>
    </w:p>
    <w:p w14:paraId="0896CAF1">
      <w:pPr>
        <w:pStyle w:val="3"/>
        <w:rPr>
          <w:rFonts w:hint="default" w:ascii="Calibri" w:hAnsi="Calibri" w:cs="Calibri"/>
        </w:rPr>
      </w:pPr>
      <w:r>
        <w:rPr>
          <w:rFonts w:hint="default" w:ascii="Calibri" w:hAnsi="Calibri" w:cs="Calibri"/>
        </w:rPr>
        <w:t>31 October — The Next Frame</w:t>
      </w:r>
    </w:p>
    <w:p w14:paraId="4773DA60">
      <w:pPr>
        <w:rPr>
          <w:rFonts w:hint="default" w:ascii="Calibri" w:hAnsi="Calibri" w:cs="Calibri"/>
        </w:rPr>
      </w:pPr>
      <w:r>
        <w:rPr>
          <w:rFonts w:hint="default" w:ascii="Calibri" w:hAnsi="Calibri" w:cs="Calibri"/>
        </w:rPr>
        <w:t>Display short, one-off Cantaball mini-tournaments. All registered pass holders, including Explorer, may request a free tournament slot. Competition rules, number of slots, prizes and session timetable remain to be confirmed; label as subject to capacity. Remove language claiming that the full World Cup takes place on 31 October.</w:t>
      </w:r>
    </w:p>
    <w:p w14:paraId="0B5842CD">
      <w:pPr>
        <w:pStyle w:val="3"/>
        <w:rPr>
          <w:rFonts w:hint="default" w:ascii="Calibri" w:hAnsi="Calibri" w:cs="Calibri"/>
        </w:rPr>
      </w:pPr>
      <w:r>
        <w:rPr>
          <w:rFonts w:hint="default" w:ascii="Calibri" w:hAnsi="Calibri" w:cs="Calibri"/>
        </w:rPr>
        <w:t>20–22 November — Games Weekend</w:t>
      </w:r>
    </w:p>
    <w:p w14:paraId="21D054D8">
      <w:pPr>
        <w:rPr>
          <w:rFonts w:hint="default" w:ascii="Calibri" w:hAnsi="Calibri" w:cs="Calibri"/>
        </w:rPr>
      </w:pPr>
      <w:r>
        <w:rPr>
          <w:rFonts w:hint="default" w:ascii="Calibri" w:hAnsi="Calibri" w:cs="Calibri"/>
        </w:rPr>
        <w:t>Create a prominent Coming Soon module for the Cantaball World Cup with the Games Weekend dates. Do not activate payment or registration yet. Provide a configurable button placeholder for “Get Updates” only if an actual email/WhatsApp opt-in workflow exists. Tournament format, entry requirements and prizes are pending approval.</w:t>
      </w:r>
    </w:p>
    <w:p w14:paraId="2DC549FA">
      <w:pPr>
        <w:pStyle w:val="2"/>
        <w:rPr>
          <w:rFonts w:hint="default" w:ascii="Calibri" w:hAnsi="Calibri" w:cs="Calibri"/>
        </w:rPr>
      </w:pPr>
      <w:r>
        <w:rPr>
          <w:rFonts w:hint="default" w:ascii="Calibri" w:hAnsi="Calibri" w:cs="Calibri"/>
        </w:rPr>
        <w:t>6 | Ink&amp;Motion portfolio — new site section</w:t>
      </w:r>
    </w:p>
    <w:p w14:paraId="2D54A56C">
      <w:pPr>
        <w:rPr>
          <w:rFonts w:hint="default" w:ascii="Calibri" w:hAnsi="Calibri" w:cs="Calibri"/>
        </w:rPr>
      </w:pPr>
      <w:r>
        <w:rPr>
          <w:rFonts w:hint="default" w:ascii="Calibri" w:hAnsi="Calibri" w:cs="Calibri"/>
        </w:rPr>
        <w:t>Recommended route: /ink-and-motion (clean, readable URL). Preserve existing sponsor-facing links, including /ink&amp;motion, with a permanent redirect to the new canonical URL if technically possible; confirm how the current server handles the ampersand and encoded URL. Do not break links already sent in War Room emails.</w:t>
      </w:r>
    </w:p>
    <w:p w14:paraId="04B4F832">
      <w:pPr>
        <w:rPr>
          <w:rFonts w:hint="default" w:ascii="Calibri" w:hAnsi="Calibri" w:cs="Calibri"/>
        </w:rPr>
      </w:pPr>
      <w:r>
        <w:rPr>
          <w:rFonts w:hint="default" w:ascii="Calibri" w:hAnsi="Calibri" w:cs="Calibri"/>
        </w:rPr>
        <w:t>Page structure: (1) hero and short studio positioning; (2) featured release: Aba Chronicles — first five minutes, 1 January 2027; (3) project gallery; (4) process gallery: sketches, character sheets, backgrounds, storyboards, animatics and tests; (5) animator/team profiles; (6) latest updates; (7) partnerships CTA; (8) footer with Kohi Dojo and eventual NueLuks Studio links.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1F2201A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0BB7638C">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Project</w:t>
            </w:r>
          </w:p>
        </w:tc>
        <w:tc>
          <w:tcPr>
            <w:tcW w:w="4320" w:type="dxa"/>
          </w:tcPr>
          <w:p w14:paraId="0FC1A464">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Initial category / content</w:t>
            </w:r>
          </w:p>
        </w:tc>
      </w:tr>
      <w:tr w14:paraId="0215B0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230CE42B">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Aba Chronicles</w:t>
            </w:r>
          </w:p>
        </w:tc>
        <w:tc>
          <w:tcPr>
            <w:tcW w:w="4320" w:type="dxa"/>
          </w:tcPr>
          <w:p w14:paraId="3F4B87BD">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Featured release; approved character/BG/animation progress; 1 Jan 2027 first-five-minutes preview</w:t>
            </w:r>
          </w:p>
        </w:tc>
      </w:tr>
      <w:tr w14:paraId="1303D5D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4320" w:type="dxa"/>
          </w:tcPr>
          <w:p w14:paraId="14F06548">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Loja</w:t>
            </w:r>
          </w:p>
        </w:tc>
        <w:tc>
          <w:tcPr>
            <w:tcW w:w="4320" w:type="dxa"/>
          </w:tcPr>
          <w:p w14:paraId="4D319030">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Character development, art direction, approved animation clips</w:t>
            </w:r>
          </w:p>
        </w:tc>
      </w:tr>
      <w:tr w14:paraId="6B50AE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4320" w:type="dxa"/>
          </w:tcPr>
          <w:p w14:paraId="488109F3">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The Elementals</w:t>
            </w:r>
          </w:p>
        </w:tc>
        <w:tc>
          <w:tcPr>
            <w:tcW w:w="4320" w:type="dxa"/>
          </w:tcPr>
          <w:p w14:paraId="741D277A">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Approved concept and production work</w:t>
            </w:r>
          </w:p>
        </w:tc>
      </w:tr>
      <w:tr w14:paraId="66C647D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29CDC61A">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Sounds of Music</w:t>
            </w:r>
          </w:p>
        </w:tc>
        <w:tc>
          <w:tcPr>
            <w:tcW w:w="4320" w:type="dxa"/>
          </w:tcPr>
          <w:p w14:paraId="6D1F05C2">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Approved concept and production work</w:t>
            </w:r>
          </w:p>
        </w:tc>
      </w:tr>
      <w:tr w14:paraId="3633FA4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2BCA84A8">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Inktober</w:t>
            </w:r>
          </w:p>
        </w:tc>
        <w:tc>
          <w:tcPr>
            <w:tcW w:w="4320" w:type="dxa"/>
          </w:tcPr>
          <w:p w14:paraId="01E75AB0">
            <w:pPr>
              <w:spacing w:after="0" w:line="240" w:lineRule="auto"/>
              <w:rPr>
                <w:rFonts w:hint="default" w:ascii="Calibri" w:hAnsi="Calibri" w:cs="Calibri"/>
                <w:color w:val="376092" w:themeColor="accent1" w:themeShade="BF"/>
              </w:rPr>
            </w:pPr>
            <w:r>
              <w:rPr>
                <w:rFonts w:hint="default" w:ascii="Calibri" w:hAnsi="Calibri" w:cs="Calibri"/>
                <w:color w:val="376092" w:themeColor="accent1" w:themeShade="BF"/>
              </w:rPr>
              <w:t>Curated team artwork with artist credit</w:t>
            </w:r>
          </w:p>
        </w:tc>
      </w:tr>
    </w:tbl>
    <w:p w14:paraId="4558F959">
      <w:pPr>
        <w:rPr>
          <w:rFonts w:hint="default" w:ascii="Calibri" w:hAnsi="Calibri" w:cs="Calibri"/>
        </w:rPr>
      </w:pPr>
    </w:p>
    <w:p w14:paraId="37911D35">
      <w:pPr>
        <w:rPr>
          <w:rFonts w:hint="default" w:ascii="Calibri" w:hAnsi="Calibri" w:cs="Calibri"/>
        </w:rPr>
      </w:pPr>
      <w:r>
        <w:rPr>
          <w:rFonts w:hint="default" w:ascii="Calibri" w:hAnsi="Calibri" w:cs="Calibri"/>
        </w:rPr>
        <w:t>No publicly visible spoilers or unfinished assets without creative director approval. Use status tags such as In Development, Work in Progress, Preview and Released, only where accurate. Include alt text, thumbnails, artist credits, media rights/consent checks and responsive video embeds.</w:t>
      </w:r>
    </w:p>
    <w:p w14:paraId="0C23FC0E">
      <w:pPr>
        <w:pStyle w:val="2"/>
        <w:rPr>
          <w:rFonts w:hint="default" w:ascii="Calibri" w:hAnsi="Calibri" w:cs="Calibri"/>
        </w:rPr>
      </w:pPr>
      <w:r>
        <w:rPr>
          <w:rFonts w:hint="default" w:ascii="Calibri" w:hAnsi="Calibri" w:cs="Calibri"/>
        </w:rPr>
        <w:t>7 | Team profiles &amp; content dashboard</w:t>
      </w:r>
    </w:p>
    <w:p w14:paraId="58E59E0D">
      <w:pPr>
        <w:rPr>
          <w:rFonts w:hint="default" w:ascii="Calibri" w:hAnsi="Calibri" w:cs="Calibri"/>
        </w:rPr>
      </w:pPr>
      <w:r>
        <w:rPr>
          <w:rFonts w:hint="default" w:ascii="Calibri" w:hAnsi="Calibri" w:cs="Calibri"/>
        </w:rPr>
        <w:t>Provide both a collective Ink&amp;Motion presentation and individual animator cards. Profile fields: display name, role, short bio, avatar/artwork, selected works, approved social link and project credits. Profiles should be optional until information is collected.</w:t>
      </w:r>
    </w:p>
    <w:p w14:paraId="5733F2FD">
      <w:pPr>
        <w:rPr>
          <w:rFonts w:hint="default" w:ascii="Calibri" w:hAnsi="Calibri" w:cs="Calibri"/>
        </w:rPr>
      </w:pPr>
      <w:r>
        <w:rPr>
          <w:rFonts w:hint="default" w:ascii="Calibri" w:hAnsi="Calibri" w:cs="Calibri"/>
        </w:rPr>
        <w:t>Build role-based content management for authorised team editors: create/edit/draft/publish/archive projects, artwork, team profiles and announcements; upload optimized images/video thumbnails; order featured items; preview before publishing. Recommended roles: Admin (permissions), Editor (content), Contributor (draft-only). Use existing CMS capabilities where available rather than unnecessarily rebuilding.</w:t>
      </w:r>
    </w:p>
    <w:p w14:paraId="626BED35">
      <w:pPr>
        <w:pStyle w:val="2"/>
        <w:rPr>
          <w:rFonts w:hint="default" w:ascii="Calibri" w:hAnsi="Calibri" w:cs="Calibri"/>
        </w:rPr>
      </w:pPr>
      <w:r>
        <w:rPr>
          <w:rFonts w:hint="default" w:ascii="Calibri" w:hAnsi="Calibri" w:cs="Calibri"/>
        </w:rPr>
        <w:t>8 | Partnerships &amp; credibility</w:t>
      </w:r>
    </w:p>
    <w:p w14:paraId="67AA7DA2">
      <w:pPr>
        <w:rPr>
          <w:rFonts w:hint="default" w:ascii="Calibri" w:hAnsi="Calibri" w:cs="Calibri"/>
        </w:rPr>
      </w:pPr>
      <w:r>
        <w:rPr>
          <w:rFonts w:hint="default" w:ascii="Calibri" w:hAnsi="Calibri" w:cs="Calibri"/>
        </w:rPr>
        <w:t>Add “Partner With Us” section explaining the NueLuks ecosystem through Kohi Dojo, Ink&amp;Motion, The Next Frame and From Sketch to Scene. Include approved project overview, measurable facts only, and a partnership enquiry form or verified contact link. Do not display prospective sponsors as confirmed partners. Add a downloadable partnership deck only after a final approved file is supplied.</w:t>
      </w:r>
    </w:p>
    <w:p w14:paraId="1C323006">
      <w:pPr>
        <w:pStyle w:val="2"/>
        <w:rPr>
          <w:rFonts w:hint="default" w:ascii="Calibri" w:hAnsi="Calibri" w:cs="Calibri"/>
        </w:rPr>
      </w:pPr>
      <w:r>
        <w:rPr>
          <w:rFonts w:hint="default" w:ascii="Calibri" w:hAnsi="Calibri" w:cs="Calibri"/>
        </w:rPr>
        <w:t>9 | Technical requirements</w:t>
      </w:r>
    </w:p>
    <w:p w14:paraId="58144E36">
      <w:pPr>
        <w:rPr>
          <w:rFonts w:hint="default" w:ascii="Calibri" w:hAnsi="Calibri" w:cs="Calibri"/>
        </w:rPr>
      </w:pPr>
      <w:r>
        <w:rPr>
          <w:rFonts w:hint="default" w:ascii="Calibri" w:hAnsi="Calibri" w:cs="Calibri"/>
        </w:rPr>
        <w:t>Mobile-first design; fast loading and compressed assets; accessible color contrast and alt text; semantic headings; search/social metadata; basic analytics events for pass views, checkout starts, completed registrations and partnership enquiries; secure admin access and backups. Avoid autoplaying heavy video on mobile data. Add privacy/consent wording for forms. Ensure all external links and navigation work.</w:t>
      </w:r>
    </w:p>
    <w:p w14:paraId="4C6DC814">
      <w:pPr>
        <w:pStyle w:val="2"/>
        <w:rPr>
          <w:rFonts w:hint="default" w:ascii="Calibri" w:hAnsi="Calibri" w:cs="Calibri"/>
        </w:rPr>
      </w:pPr>
      <w:r>
        <w:rPr>
          <w:rFonts w:hint="default" w:ascii="Calibri" w:hAnsi="Calibri" w:cs="Calibri"/>
        </w:rPr>
        <w:t>10 | Acceptance checklist &amp; handover</w:t>
      </w:r>
    </w:p>
    <w:p w14:paraId="2EC960B8">
      <w:pPr>
        <w:rPr>
          <w:rFonts w:hint="default" w:ascii="Calibri" w:hAnsi="Calibri" w:cs="Calibri"/>
        </w:rPr>
      </w:pPr>
      <w:r>
        <w:rPr>
          <w:rFonts w:hint="default" w:ascii="Calibri" w:hAnsi="Calibri" w:cs="Calibri"/>
        </w:rPr>
        <w:t>☐ All October 31 dates, El Dorado venue and pass prices are correct site-wide.</w:t>
      </w:r>
    </w:p>
    <w:p w14:paraId="7B132C74">
      <w:pPr>
        <w:rPr>
          <w:rFonts w:hint="default" w:ascii="Calibri" w:hAnsi="Calibri" w:cs="Calibri"/>
        </w:rPr>
      </w:pPr>
      <w:r>
        <w:rPr>
          <w:rFonts w:hint="default" w:ascii="Calibri" w:hAnsi="Calibri" w:cs="Calibri"/>
        </w:rPr>
        <w:t>☐ Existing checkout successfully handles all six tiers, including free Explorer registration.</w:t>
      </w:r>
    </w:p>
    <w:p w14:paraId="54FD0D5A">
      <w:pPr>
        <w:rPr>
          <w:rFonts w:hint="default" w:ascii="Calibri" w:hAnsi="Calibri" w:cs="Calibri"/>
        </w:rPr>
      </w:pPr>
      <w:r>
        <w:rPr>
          <w:rFonts w:hint="default" w:ascii="Calibri" w:hAnsi="Calibri" w:cs="Calibri"/>
        </w:rPr>
        <w:t>☐ Cantaball mini-tournament vs November World Cup messaging is accurate.</w:t>
      </w:r>
    </w:p>
    <w:p w14:paraId="755322B5">
      <w:pPr>
        <w:rPr>
          <w:rFonts w:hint="default" w:ascii="Calibri" w:hAnsi="Calibri" w:cs="Calibri"/>
        </w:rPr>
      </w:pPr>
      <w:r>
        <w:rPr>
          <w:rFonts w:hint="default" w:ascii="Calibri" w:hAnsi="Calibri" w:cs="Calibri"/>
        </w:rPr>
        <w:t>☐ Old /ink&amp;motion sponsor link resolves correctly; new portfolio page is discoverable.</w:t>
      </w:r>
    </w:p>
    <w:p w14:paraId="388386D7">
      <w:pPr>
        <w:rPr>
          <w:rFonts w:hint="default" w:ascii="Calibri" w:hAnsi="Calibri" w:cs="Calibri"/>
        </w:rPr>
      </w:pPr>
      <w:r>
        <w:rPr>
          <w:rFonts w:hint="default" w:ascii="Calibri" w:hAnsi="Calibri" w:cs="Calibri"/>
        </w:rPr>
        <w:t>☐ Five project categories are present; only approved assets are public.</w:t>
      </w:r>
    </w:p>
    <w:p w14:paraId="1836B3F2">
      <w:pPr>
        <w:rPr>
          <w:rFonts w:hint="default" w:ascii="Calibri" w:hAnsi="Calibri" w:cs="Calibri"/>
        </w:rPr>
      </w:pPr>
      <w:r>
        <w:rPr>
          <w:rFonts w:hint="default" w:ascii="Calibri" w:hAnsi="Calibri" w:cs="Calibri"/>
        </w:rPr>
        <w:t>☐ Animator profiles and role-controlled CMS are demonstrated or documented as phase two.</w:t>
      </w:r>
    </w:p>
    <w:p w14:paraId="22D5EFC1">
      <w:pPr>
        <w:rPr>
          <w:rFonts w:hint="default" w:ascii="Calibri" w:hAnsi="Calibri" w:cs="Calibri"/>
        </w:rPr>
      </w:pPr>
      <w:r>
        <w:rPr>
          <w:rFonts w:hint="default" w:ascii="Calibri" w:hAnsi="Calibri" w:cs="Calibri"/>
        </w:rPr>
        <w:t>☐ Partnership section contains verified claims and a working contact route.</w:t>
      </w:r>
    </w:p>
    <w:p w14:paraId="11DB2B6F">
      <w:pPr>
        <w:rPr>
          <w:rFonts w:hint="default" w:ascii="Calibri" w:hAnsi="Calibri" w:cs="Calibri"/>
        </w:rPr>
      </w:pPr>
      <w:r>
        <w:rPr>
          <w:rFonts w:hint="default" w:ascii="Calibri" w:hAnsi="Calibri" w:cs="Calibri"/>
        </w:rPr>
        <w:t>☐ Site works on Samsung Fold5-size mobile view and common desktop browsers.</w:t>
      </w:r>
    </w:p>
    <w:p w14:paraId="65A23ACA">
      <w:pPr>
        <w:rPr>
          <w:rFonts w:hint="default" w:ascii="Calibri" w:hAnsi="Calibri" w:cs="Calibri"/>
        </w:rPr>
      </w:pPr>
      <w:r>
        <w:rPr>
          <w:rFonts w:hint="default" w:ascii="Calibri" w:hAnsi="Calibri" w:cs="Calibri"/>
        </w:rPr>
        <w:t>☐ Developer supplies admin access instructions, content dimensions, backup and change log.</w:t>
      </w:r>
    </w:p>
    <w:p w14:paraId="60621647">
      <w:pPr>
        <w:pStyle w:val="2"/>
        <w:rPr>
          <w:rFonts w:hint="default" w:ascii="Calibri" w:hAnsi="Calibri" w:cs="Calibri"/>
        </w:rPr>
      </w:pPr>
      <w:r>
        <w:rPr>
          <w:rFonts w:hint="default" w:ascii="Calibri" w:hAnsi="Calibri" w:cs="Calibri"/>
        </w:rPr>
        <w:t>11 | Open approvals &amp; dependencies</w:t>
      </w:r>
    </w:p>
    <w:p w14:paraId="75E119EA">
      <w:pPr>
        <w:rPr>
          <w:rFonts w:hint="default" w:ascii="Calibri" w:hAnsi="Calibri" w:cs="Calibri"/>
        </w:rPr>
      </w:pPr>
      <w:r>
        <w:rPr>
          <w:rFonts w:hint="default" w:ascii="Calibri" w:hAnsi="Calibri" w:cs="Calibri"/>
        </w:rPr>
        <w:t>Organiser must approve pass entitlements, capacity, refreshment costs, tournament rules, approved portfolio assets, staff profiles, partnership contact destination and any countdown wording. Developer should flag blockers immediately and publish confirmed event facts first. Proposed handover: staging link + test transactions + mobile screen recording + final live URL by 26 October 2026.</w:t>
      </w:r>
    </w:p>
    <w:sectPr>
      <w:footerReference r:id="rId5" w:type="default"/>
      <w:pgSz w:w="12240" w:h="15840"/>
      <w:pgMar w:top="1080" w:right="1800" w:bottom="1008" w:left="180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69CDF">
    <w:pPr>
      <w:pStyle w:val="18"/>
      <w:jc w:val="center"/>
    </w:pPr>
    <w:r>
      <w:t>NUELUKS STUDIO  •  KOHI DOJO  •  INK&amp;MOTION  |  INTERNAL DEVELOPMENT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0C18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94B3C"/>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94B3C"/>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94B3C"/>
      <w:spacing w:val="5"/>
      <w:kern w:val="28"/>
      <w:sz w:val="4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2026-10-23T10:13:48Z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0A00AEA364E34F0BBB78FE060D178821_12</vt:lpwstr>
  </property>
</Properties>
</file>