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 and notes</w:t>
      </w:r>
    </w:p>
    <w:p>
      <w:pPr>
        <w:pStyle w:val="BodyText"/>
      </w:pPr>
      <w:r>
        <w:t xml:space="preserve">Opening paragraph with two notes.</w:t>
      </w:r>
      <w:r>
        <w:rPr>
          <w:rStyle w:val="FootnoteReference"/>
        </w:rPr>
        <w:footnoteReference w:id="9"/>
      </w:r>
      <w:r>
        <w:t xml:space="preserve"> </w:t>
      </w:r>
      <w:r>
        <w:t xml:space="preserve">The second one.</w:t>
      </w:r>
      <w:r>
        <w:rPr>
          <w:rStyle w:val="FootnoteReference"/>
        </w:rPr>
        <w:footnoteReference w:id="10"/>
      </w:r>
    </w:p>
    <w:tbl>
      <w:tblPr>
        <w:tblStyle w:val="Table"/>
        <w:tblW w:type="pct" w:w="1736"/>
        <w:tblLayout w:type="fixed"/>
        <w:tblLook w:firstRow="1" w:lastRow="0" w:firstColumn="0" w:lastColumn="0" w:noHBand="0" w:noVBand="0" w:val="0020"/>
      </w:tblPr>
      <w:tblGrid>
        <w:gridCol w:w="99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A | B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BodyText"/>
            </w:pPr>
            <w:r>
              <w:t xml:space="preserve">line one</w:t>
            </w:r>
          </w:p>
          <w:p>
            <w:pPr>
              <w:pStyle w:val="BodyText"/>
            </w:pPr>
            <w:r>
              <w:t xml:space="preserve">line two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First note.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Second note with a</w:t>
      </w:r>
      <w:r>
        <w:t xml:space="preserve"> </w:t>
      </w:r>
      <w:hyperlink r:id="rId11">
        <w:r>
          <w:rPr>
            <w:rStyle w:val="Hyperlink"/>
          </w:rPr>
          <w:t xml:space="preserve">link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kautilyamsc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kautilyamsc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tables</cp:keywords>
  <dcterms:created xsi:type="dcterms:W3CDTF">2026-10-10T10:05:26Z</dcterms:created>
  <dcterms:modified xsi:type="dcterms:W3CDTF">2026-10-10T10:05:26Z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