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6F" w:rsidRDefault="00874C6F" w:rsidP="00874C6F">
      <w:pPr>
        <w:pStyle w:val="Ttulo5"/>
        <w:tabs>
          <w:tab w:val="left" w:pos="708"/>
        </w:tabs>
        <w:suppressAutoHyphens w:val="0"/>
        <w:jc w:val="right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Huancayo, 02 de Octubre del 2017</w:t>
      </w:r>
    </w:p>
    <w:p w:rsidR="00874C6F" w:rsidRDefault="00874C6F" w:rsidP="00874C6F">
      <w:pPr>
        <w:rPr>
          <w:lang w:val="es-ES_tradnl" w:eastAsia="en-US"/>
        </w:rPr>
      </w:pP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Señores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>
        <w:rPr>
          <w:rFonts w:ascii="Arial" w:hAnsi="Arial" w:cs="Arial"/>
          <w:b/>
          <w:spacing w:val="0"/>
          <w:sz w:val="22"/>
          <w:szCs w:val="22"/>
        </w:rPr>
        <w:t>COMUNIDAD CAMPESINA VISTA ALEGRE</w:t>
      </w: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b/>
          <w:spacing w:val="0"/>
          <w:sz w:val="22"/>
          <w:szCs w:val="22"/>
        </w:rPr>
        <w:t xml:space="preserve"> </w:t>
      </w:r>
      <w:r>
        <w:rPr>
          <w:rFonts w:ascii="Arial" w:hAnsi="Arial" w:cs="Arial"/>
          <w:spacing w:val="0"/>
          <w:sz w:val="22"/>
          <w:szCs w:val="22"/>
        </w:rPr>
        <w:t>Presidente Sr. Oswaldo Chanco Ramos</w:t>
      </w:r>
    </w:p>
    <w:p w:rsidR="00874C6F" w:rsidRDefault="00874C6F" w:rsidP="00874C6F">
      <w:pPr>
        <w:pStyle w:val="Ttulo5"/>
        <w:tabs>
          <w:tab w:val="left" w:pos="708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spacing w:val="0"/>
          <w:sz w:val="22"/>
          <w:szCs w:val="22"/>
        </w:rPr>
        <w:t>Ahuaycha</w:t>
      </w:r>
      <w:proofErr w:type="spellEnd"/>
      <w:r>
        <w:rPr>
          <w:rFonts w:ascii="Arial" w:hAnsi="Arial" w:cs="Arial"/>
          <w:spacing w:val="0"/>
          <w:sz w:val="22"/>
          <w:szCs w:val="22"/>
        </w:rPr>
        <w:t xml:space="preserve"> – Pampas - Huancavelica</w:t>
      </w:r>
    </w:p>
    <w:p w:rsidR="00874C6F" w:rsidRDefault="00874C6F" w:rsidP="00874C6F">
      <w:pPr>
        <w:rPr>
          <w:rFonts w:ascii="Arial" w:hAnsi="Arial" w:cs="Arial"/>
          <w:sz w:val="22"/>
          <w:szCs w:val="22"/>
          <w:lang w:val="es-ES_tradnl" w:eastAsia="en-US"/>
        </w:rPr>
      </w:pPr>
      <w:r>
        <w:rPr>
          <w:rFonts w:ascii="Arial" w:hAnsi="Arial" w:cs="Arial"/>
          <w:sz w:val="22"/>
          <w:szCs w:val="22"/>
          <w:lang w:val="es-ES_tradnl" w:eastAsia="en-US"/>
        </w:rPr>
        <w:t>Teléfono</w:t>
      </w:r>
      <w:r>
        <w:rPr>
          <w:rFonts w:ascii="Arial" w:hAnsi="Arial" w:cs="Arial"/>
          <w:sz w:val="22"/>
          <w:szCs w:val="22"/>
          <w:lang w:val="es-ES_tradnl" w:eastAsia="en-US"/>
        </w:rPr>
        <w:tab/>
        <w:t>: 954485500</w:t>
      </w:r>
    </w:p>
    <w:p w:rsidR="00874C6F" w:rsidRDefault="00874C6F" w:rsidP="00874C6F">
      <w:pPr>
        <w:spacing w:before="37"/>
        <w:ind w:right="142"/>
        <w:rPr>
          <w:rFonts w:ascii="Arial" w:eastAsia="Arial" w:hAnsi="Arial" w:cs="Arial"/>
          <w:sz w:val="10"/>
          <w:szCs w:val="10"/>
          <w:lang w:val="es-ES_tradnl"/>
        </w:rPr>
      </w:pPr>
    </w:p>
    <w:p w:rsidR="00874C6F" w:rsidRDefault="00874C6F" w:rsidP="00874C6F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874C6F" w:rsidRDefault="00874C6F" w:rsidP="00874C6F">
      <w:pPr>
        <w:ind w:right="142"/>
        <w:rPr>
          <w:rFonts w:eastAsiaTheme="minorHAnsi"/>
          <w:sz w:val="10"/>
          <w:szCs w:val="10"/>
        </w:rPr>
      </w:pPr>
    </w:p>
    <w:p w:rsidR="00874C6F" w:rsidRDefault="00874C6F" w:rsidP="00874C6F">
      <w:pPr>
        <w:spacing w:line="220" w:lineRule="exact"/>
        <w:ind w:right="142"/>
        <w:jc w:val="center"/>
        <w:rPr>
          <w:rFonts w:ascii="Arial" w:eastAsia="Arial" w:hAnsi="Arial" w:cs="Arial"/>
          <w:sz w:val="22"/>
          <w:szCs w:val="22"/>
          <w:u w:val="single"/>
          <w:lang w:val="es-PE"/>
        </w:rPr>
      </w:pP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CO</w:t>
      </w:r>
      <w:r>
        <w:rPr>
          <w:rFonts w:ascii="Arial" w:eastAsia="Arial" w:hAnsi="Arial" w:cs="Arial"/>
          <w:b/>
          <w:spacing w:val="6"/>
          <w:position w:val="-1"/>
          <w:sz w:val="22"/>
          <w:szCs w:val="22"/>
          <w:u w:val="single"/>
          <w:lang w:val="es-PE"/>
        </w:rPr>
        <w:t>T</w:t>
      </w:r>
      <w:r>
        <w:rPr>
          <w:rFonts w:ascii="Arial" w:eastAsia="Arial" w:hAnsi="Arial" w:cs="Arial"/>
          <w:b/>
          <w:spacing w:val="-7"/>
          <w:position w:val="-1"/>
          <w:sz w:val="22"/>
          <w:szCs w:val="22"/>
          <w:u w:val="single"/>
          <w:lang w:val="es-PE"/>
        </w:rPr>
        <w:t>I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Z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C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I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ÓN</w:t>
      </w:r>
      <w:r>
        <w:rPr>
          <w:rFonts w:ascii="Arial" w:eastAsia="Arial" w:hAnsi="Arial" w:cs="Arial"/>
          <w:b/>
          <w:spacing w:val="23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N°</w:t>
      </w:r>
      <w:r>
        <w:rPr>
          <w:rFonts w:ascii="Arial" w:eastAsia="Arial" w:hAnsi="Arial" w:cs="Arial"/>
          <w:b/>
          <w:spacing w:val="7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RS</w:t>
      </w:r>
      <w:r>
        <w:rPr>
          <w:rFonts w:ascii="Arial" w:eastAsia="Arial" w:hAnsi="Arial" w:cs="Arial"/>
          <w:b/>
          <w:spacing w:val="-4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-</w:t>
      </w:r>
      <w:r>
        <w:rPr>
          <w:rFonts w:ascii="Arial" w:eastAsia="Arial" w:hAnsi="Arial" w:cs="Arial"/>
          <w:b/>
          <w:spacing w:val="8"/>
          <w:position w:val="-1"/>
          <w:sz w:val="22"/>
          <w:szCs w:val="22"/>
          <w:u w:val="single"/>
          <w:lang w:val="es-PE"/>
        </w:rPr>
        <w:t>T</w:t>
      </w:r>
      <w:r>
        <w:rPr>
          <w:rFonts w:ascii="Arial" w:eastAsia="Arial" w:hAnsi="Arial" w:cs="Arial"/>
          <w:b/>
          <w:spacing w:val="-6"/>
          <w:position w:val="-1"/>
          <w:sz w:val="22"/>
          <w:szCs w:val="22"/>
          <w:u w:val="single"/>
          <w:lang w:val="es-PE"/>
        </w:rPr>
        <w:t>A</w:t>
      </w:r>
      <w:r>
        <w:rPr>
          <w:rFonts w:ascii="Arial" w:eastAsia="Arial" w:hAnsi="Arial" w:cs="Arial"/>
          <w:b/>
          <w:position w:val="-1"/>
          <w:sz w:val="22"/>
          <w:szCs w:val="22"/>
          <w:u w:val="single"/>
          <w:lang w:val="es-PE"/>
        </w:rPr>
        <w:t>C</w:t>
      </w:r>
      <w:r>
        <w:rPr>
          <w:rFonts w:ascii="Arial" w:eastAsia="Arial" w:hAnsi="Arial" w:cs="Arial"/>
          <w:b/>
          <w:spacing w:val="22"/>
          <w:position w:val="-1"/>
          <w:sz w:val="22"/>
          <w:szCs w:val="22"/>
          <w:u w:val="single"/>
          <w:lang w:val="es-PE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22"/>
          <w:szCs w:val="22"/>
          <w:u w:val="single"/>
          <w:lang w:val="es-PE"/>
        </w:rPr>
        <w:t>002/2017</w:t>
      </w:r>
    </w:p>
    <w:p w:rsidR="00874C6F" w:rsidRDefault="00874C6F" w:rsidP="00874C6F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874C6F" w:rsidRDefault="00874C6F" w:rsidP="00874C6F">
      <w:pPr>
        <w:pStyle w:val="Textoindependiente"/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874C6F" w:rsidRDefault="00874C6F" w:rsidP="00874C6F">
      <w:pPr>
        <w:pStyle w:val="Textoindependiente"/>
        <w:spacing w:after="0"/>
        <w:jc w:val="both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TRACTOR AGRICOLA</w:t>
      </w:r>
      <w:r>
        <w:rPr>
          <w:rFonts w:cs="Arial"/>
          <w:sz w:val="22"/>
          <w:szCs w:val="22"/>
        </w:rPr>
        <w:t xml:space="preserve">  </w:t>
      </w:r>
      <w:r>
        <w:rPr>
          <w:rFonts w:cs="Arial"/>
          <w:b/>
          <w:sz w:val="22"/>
          <w:szCs w:val="22"/>
        </w:rPr>
        <w:t>CASE IH</w:t>
      </w:r>
      <w:r>
        <w:rPr>
          <w:rFonts w:cs="Arial"/>
          <w:sz w:val="22"/>
          <w:szCs w:val="22"/>
        </w:rPr>
        <w:t xml:space="preserve">, </w:t>
      </w:r>
      <w:r>
        <w:rPr>
          <w:rFonts w:cs="Arial"/>
          <w:b/>
          <w:sz w:val="22"/>
          <w:szCs w:val="22"/>
        </w:rPr>
        <w:t>MODELO FARMALL JX 110 DOBLE TRACCION CABINADO</w:t>
      </w:r>
      <w:r>
        <w:rPr>
          <w:rFonts w:cs="Arial"/>
          <w:sz w:val="22"/>
          <w:szCs w:val="22"/>
        </w:rPr>
        <w:t xml:space="preserve">, de procedencia Turquía, </w:t>
      </w:r>
      <w:r>
        <w:rPr>
          <w:rFonts w:cs="Arial"/>
          <w:b/>
          <w:sz w:val="22"/>
          <w:szCs w:val="22"/>
        </w:rPr>
        <w:t>año de fabricación 2016</w:t>
      </w:r>
      <w:r>
        <w:rPr>
          <w:rFonts w:cs="Arial"/>
          <w:sz w:val="22"/>
          <w:szCs w:val="22"/>
        </w:rPr>
        <w:t xml:space="preserve">, de óptimo desempeño, bajo consumo de combustible, con las siguientes características: </w:t>
      </w:r>
    </w:p>
    <w:p w:rsidR="00874C6F" w:rsidRDefault="00874C6F" w:rsidP="00874C6F">
      <w:pPr>
        <w:pStyle w:val="Textoindependiente"/>
        <w:jc w:val="both"/>
        <w:rPr>
          <w:rFonts w:cs="Arial"/>
          <w:sz w:val="10"/>
          <w:szCs w:val="10"/>
          <w:u w:val="single"/>
        </w:rPr>
      </w:pPr>
    </w:p>
    <w:p w:rsidR="00874C6F" w:rsidRDefault="00874C6F" w:rsidP="00874C6F">
      <w:pPr>
        <w:ind w:left="708" w:hanging="705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>
        <w:rPr>
          <w:rFonts w:ascii="Arial" w:hAnsi="Arial" w:cs="Arial"/>
          <w:b/>
          <w:spacing w:val="-2"/>
          <w:sz w:val="22"/>
          <w:szCs w:val="22"/>
        </w:rPr>
        <w:tab/>
      </w:r>
      <w:r>
        <w:rPr>
          <w:rFonts w:ascii="Arial" w:hAnsi="Arial" w:cs="Arial"/>
          <w:b/>
          <w:spacing w:val="-2"/>
          <w:sz w:val="22"/>
          <w:szCs w:val="22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Case IH,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>modelo TTF, 4 cilindros Turbocompresor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ab/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110 CV, Cilindrada 3,9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rotativa.</w:t>
      </w:r>
    </w:p>
    <w:p w:rsidR="00874C6F" w:rsidRDefault="00874C6F" w:rsidP="00874C6F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Max.Torque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 xml:space="preserve"> 430 </w:t>
      </w:r>
      <w:proofErr w:type="spellStart"/>
      <w:r>
        <w:rPr>
          <w:rFonts w:ascii="Arial" w:eastAsiaTheme="minorHAnsi" w:hAnsi="Arial" w:cs="Arial"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sz w:val="22"/>
          <w:szCs w:val="22"/>
          <w:lang w:val="es-PE" w:eastAsia="en-US"/>
        </w:rPr>
        <w:t>,</w:t>
      </w: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>
        <w:rPr>
          <w:rFonts w:ascii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Eyector de polvo.</w:t>
      </w:r>
    </w:p>
    <w:p w:rsidR="00874C6F" w:rsidRDefault="00874C6F" w:rsidP="00874C6F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>Sincronizada, 12 marchas adelante y 12 marchas en Retroceso, Con</w:t>
      </w:r>
    </w:p>
    <w:p w:rsidR="00874C6F" w:rsidRDefault="00874C6F" w:rsidP="00874C6F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de Giro Electrohidráulico de Dirección &amp; Servo PTO.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Embrague: Disco Doble </w:t>
      </w:r>
      <w:smartTag w:uri="urn:schemas-microsoft-com:office:smarttags" w:element="metricconverter">
        <w:smartTagPr>
          <w:attr w:name="ProductID" w:val="12”"/>
        </w:smartTagPr>
        <w:r>
          <w:rPr>
            <w:rFonts w:ascii="Arial" w:hAnsi="Arial" w:cs="Arial"/>
            <w:spacing w:val="-2"/>
            <w:sz w:val="22"/>
            <w:szCs w:val="22"/>
            <w:lang w:val="es-PE"/>
          </w:rPr>
          <w:t>12”</w:t>
        </w:r>
      </w:smartTag>
      <w:r>
        <w:rPr>
          <w:rFonts w:ascii="Arial" w:hAnsi="Arial" w:cs="Arial"/>
          <w:spacing w:val="-2"/>
          <w:sz w:val="22"/>
          <w:szCs w:val="22"/>
          <w:lang w:val="es-PE"/>
        </w:rPr>
        <w:t xml:space="preserve"> (</w:t>
      </w:r>
      <w:smartTag w:uri="urn:schemas-microsoft-com:office:smarttags" w:element="metricconverter">
        <w:smartTagPr>
          <w:attr w:name="ProductID" w:val="305 mm"/>
        </w:smartTagPr>
        <w:r>
          <w:rPr>
            <w:rFonts w:ascii="Arial" w:hAnsi="Arial" w:cs="Arial"/>
            <w:spacing w:val="-2"/>
            <w:sz w:val="22"/>
            <w:szCs w:val="22"/>
            <w:lang w:val="es-PE"/>
          </w:rPr>
          <w:t>305 mm</w:t>
        </w:r>
      </w:smartTag>
      <w:r>
        <w:rPr>
          <w:rFonts w:ascii="Arial" w:hAnsi="Arial" w:cs="Arial"/>
          <w:spacing w:val="-2"/>
          <w:sz w:val="22"/>
          <w:szCs w:val="22"/>
          <w:lang w:val="es-PE"/>
        </w:rPr>
        <w:t>).</w:t>
      </w: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874C6F" w:rsidRDefault="00874C6F" w:rsidP="00874C6F">
      <w:pPr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874C6F" w:rsidRDefault="00874C6F" w:rsidP="00874C6F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levante hidráulico y 3er. Punto categoría II con control de posición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palanca auxiliar de elevación y estabilizadores telescópicos, barra de tiro oscilante.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 engranaje con caudal de 28 l/min. (Exclusiva).con columna de dirección ajustable a la ergonomía del operador mediante un pedal.</w:t>
      </w:r>
    </w:p>
    <w:p w:rsidR="00874C6F" w:rsidRDefault="00874C6F" w:rsidP="00874C6F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Batería de 12v, 120 Ah, Alternador de 64 A, Motor de arranque de 3.5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 Dos faros delanteros, traseros de trabajo (Aradura).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Con Cabina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>aire acondicionado, calefacción, mayor visibilidad, ergonomía</w:t>
      </w:r>
    </w:p>
    <w:p w:rsidR="00874C6F" w:rsidRDefault="00874C6F" w:rsidP="00874C6F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mejorada y un nivel de ruido menor,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asiento del operador con alta</w:t>
      </w:r>
    </w:p>
    <w:p w:rsidR="00874C6F" w:rsidRDefault="00874C6F" w:rsidP="00874C6F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b/>
          <w:spacing w:val="-2"/>
          <w:sz w:val="22"/>
          <w:szCs w:val="22"/>
          <w:lang w:val="es-PE"/>
        </w:rPr>
        <w:t>suspensión</w:t>
      </w:r>
      <w:proofErr w:type="gram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lujo, </w:t>
      </w:r>
      <w:r>
        <w:rPr>
          <w:rFonts w:ascii="Arial" w:hAnsi="Arial" w:cs="Arial"/>
          <w:spacing w:val="-2"/>
          <w:sz w:val="22"/>
          <w:szCs w:val="22"/>
          <w:lang w:val="es-PE"/>
        </w:rPr>
        <w:t>dos retrovisores exteriores, luna trasera abatible, guardabarros delanteros.</w:t>
      </w:r>
    </w:p>
    <w:p w:rsidR="00874C6F" w:rsidRDefault="00874C6F" w:rsidP="00874C6F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z w:val="22"/>
          <w:szCs w:val="22"/>
        </w:rPr>
        <w:t>6 contrapesos delanteros, un peso central (100kg), 6 contrapesos</w:t>
      </w:r>
    </w:p>
    <w:p w:rsidR="00874C6F" w:rsidRDefault="00874C6F" w:rsidP="00874C6F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Traseros (300 kg), peso total del tractor 4,549 kg. (</w:t>
      </w:r>
      <w:proofErr w:type="gramStart"/>
      <w:r>
        <w:rPr>
          <w:rFonts w:ascii="Arial" w:hAnsi="Arial" w:cs="Arial"/>
          <w:sz w:val="22"/>
          <w:szCs w:val="22"/>
        </w:rPr>
        <w:t>con</w:t>
      </w:r>
      <w:proofErr w:type="gramEnd"/>
      <w:r>
        <w:rPr>
          <w:rFonts w:ascii="Arial" w:hAnsi="Arial" w:cs="Arial"/>
          <w:sz w:val="22"/>
          <w:szCs w:val="22"/>
        </w:rPr>
        <w:t xml:space="preserve"> pesos)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Peso con lastre total 5,569 kg. Aprox.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 xml:space="preserve">1672 - </w:t>
      </w:r>
      <w:r>
        <w:rPr>
          <w:rFonts w:ascii="Arial" w:hAnsi="Arial" w:cs="Arial"/>
          <w:sz w:val="22"/>
          <w:szCs w:val="22"/>
        </w:rPr>
        <w:tab/>
        <w:t>2000  mm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Ancho de trocha posterior:  </w:t>
      </w:r>
      <w:r>
        <w:rPr>
          <w:rFonts w:ascii="Arial" w:hAnsi="Arial" w:cs="Arial"/>
          <w:sz w:val="22"/>
          <w:szCs w:val="22"/>
        </w:rPr>
        <w:tab/>
        <w:t xml:space="preserve">1626 - </w:t>
      </w:r>
      <w:r>
        <w:rPr>
          <w:rFonts w:ascii="Arial" w:hAnsi="Arial" w:cs="Arial"/>
          <w:sz w:val="22"/>
          <w:szCs w:val="22"/>
        </w:rPr>
        <w:tab/>
        <w:t>2024  mm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Distancia entre ejes:                       </w:t>
      </w:r>
      <w:r>
        <w:rPr>
          <w:rFonts w:ascii="Arial" w:hAnsi="Arial" w:cs="Arial"/>
          <w:sz w:val="22"/>
          <w:szCs w:val="22"/>
        </w:rPr>
        <w:tab/>
        <w:t>2422  mm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4115  mm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Delanteros: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14.9 R 24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Posterior: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18.4 R 34</w:t>
      </w:r>
    </w:p>
    <w:p w:rsidR="00874C6F" w:rsidRDefault="00874C6F" w:rsidP="00874C6F">
      <w:pPr>
        <w:ind w:left="1418" w:firstLine="709"/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874C6F" w:rsidRDefault="00874C6F" w:rsidP="00874C6F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pPr w:leftFromText="141" w:rightFromText="141" w:bottomFromText="200" w:vertAnchor="text" w:horzAnchor="page" w:tblpX="3366" w:tblpY="155"/>
        <w:tblW w:w="62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05"/>
        <w:gridCol w:w="3182"/>
      </w:tblGrid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 61,440.68</w:t>
            </w:r>
          </w:p>
        </w:tc>
      </w:tr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I.G.V 18%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 11,059.32</w:t>
            </w:r>
          </w:p>
        </w:tc>
      </w:tr>
      <w:tr w:rsidR="00874C6F" w:rsidTr="00874C6F">
        <w:trPr>
          <w:trHeight w:val="315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874C6F" w:rsidRDefault="00874C6F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 72,500.00</w:t>
            </w:r>
          </w:p>
        </w:tc>
      </w:tr>
    </w:tbl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</w:rPr>
      </w:pPr>
    </w:p>
    <w:p w:rsidR="00874C6F" w:rsidRDefault="00874C6F" w:rsidP="00874C6F">
      <w:pPr>
        <w:jc w:val="both"/>
        <w:rPr>
          <w:rFonts w:ascii="Arial" w:hAnsi="Arial" w:cs="Arial"/>
          <w:sz w:val="10"/>
          <w:szCs w:val="10"/>
        </w:rPr>
      </w:pPr>
    </w:p>
    <w:p w:rsidR="00874C6F" w:rsidRDefault="00874C6F" w:rsidP="00874C6F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10"/>
          <w:szCs w:val="10"/>
        </w:rPr>
      </w:pPr>
    </w:p>
    <w:p w:rsidR="00874C6F" w:rsidRDefault="00874C6F" w:rsidP="00874C6F">
      <w:pPr>
        <w:tabs>
          <w:tab w:val="left" w:pos="1985"/>
          <w:tab w:val="left" w:pos="2268"/>
          <w:tab w:val="left" w:pos="2410"/>
          <w:tab w:val="left" w:pos="2552"/>
        </w:tabs>
        <w:suppressAutoHyphens/>
        <w:jc w:val="both"/>
        <w:rPr>
          <w:rFonts w:cs="Arial"/>
          <w:bCs/>
          <w:spacing w:val="-2"/>
          <w:sz w:val="20"/>
          <w:szCs w:val="20"/>
        </w:rPr>
      </w:pPr>
      <w:r>
        <w:rPr>
          <w:rFonts w:cs="Arial"/>
          <w:bCs/>
          <w:spacing w:val="-2"/>
          <w:sz w:val="20"/>
          <w:szCs w:val="20"/>
        </w:rPr>
        <w:t>Nota.- El importe de la factura será en dólares americanos y podrá ser pagada en moneda nacional (Nuevos Soles) al Tipo de Cambio Venta Vigente en el mercado cambiario al día de su cancelación.</w:t>
      </w: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CONDICIONES COMERCIALES:</w:t>
      </w:r>
    </w:p>
    <w:p w:rsidR="00874C6F" w:rsidRDefault="00874C6F" w:rsidP="00874C6F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874C6F" w:rsidRDefault="00874C6F" w:rsidP="00874C6F">
      <w:pPr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Gar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</w:t>
      </w:r>
      <w:r>
        <w:rPr>
          <w:rFonts w:ascii="Arial" w:eastAsia="Arial" w:hAnsi="Arial" w:cs="Arial"/>
          <w:spacing w:val="-5"/>
          <w:sz w:val="21"/>
          <w:szCs w:val="21"/>
          <w:lang w:val="es-PE"/>
        </w:rPr>
        <w:t>í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21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e</w:t>
      </w:r>
      <w:r>
        <w:rPr>
          <w:rFonts w:ascii="Arial" w:eastAsia="Arial" w:hAnsi="Arial" w:cs="Arial"/>
          <w:sz w:val="21"/>
          <w:szCs w:val="21"/>
          <w:lang w:val="es-PE"/>
        </w:rPr>
        <w:t>l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 xml:space="preserve"> Equip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U</w:t>
      </w:r>
      <w:r>
        <w:rPr>
          <w:rFonts w:ascii="Arial" w:eastAsia="Arial" w:hAnsi="Arial" w:cs="Arial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ñ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7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>s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>
        <w:rPr>
          <w:rFonts w:ascii="Arial" w:eastAsia="Arial" w:hAnsi="Arial" w:cs="Arial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hor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lími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15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tra</w:t>
      </w:r>
      <w:r>
        <w:rPr>
          <w:rFonts w:ascii="Arial" w:eastAsia="Arial" w:hAnsi="Arial" w:cs="Arial"/>
          <w:spacing w:val="-7"/>
          <w:w w:val="102"/>
          <w:sz w:val="21"/>
          <w:szCs w:val="21"/>
          <w:lang w:val="es-PE"/>
        </w:rPr>
        <w:t>b</w:t>
      </w:r>
      <w:r>
        <w:rPr>
          <w:rFonts w:ascii="Arial" w:eastAsia="Arial" w:hAnsi="Arial" w:cs="Arial"/>
          <w:spacing w:val="5"/>
          <w:w w:val="102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j</w:t>
      </w:r>
      <w:r>
        <w:rPr>
          <w:rFonts w:ascii="Arial" w:eastAsia="Arial" w:hAnsi="Arial" w:cs="Arial"/>
          <w:w w:val="102"/>
          <w:sz w:val="21"/>
          <w:szCs w:val="21"/>
          <w:lang w:val="es-PE"/>
        </w:rPr>
        <w:t>o</w:t>
      </w:r>
    </w:p>
    <w:p w:rsidR="00874C6F" w:rsidRDefault="00874C6F" w:rsidP="00874C6F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For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16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P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C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2"/>
          <w:sz w:val="21"/>
          <w:szCs w:val="21"/>
          <w:lang w:val="es-PE"/>
        </w:rPr>
        <w:t>t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z w:val="21"/>
          <w:szCs w:val="21"/>
          <w:lang w:val="es-PE"/>
        </w:rPr>
        <w:t xml:space="preserve">o </w:t>
      </w:r>
      <w:r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L</w:t>
      </w:r>
      <w:r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e</w:t>
      </w:r>
      <w:r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s</w:t>
      </w:r>
      <w:r>
        <w:rPr>
          <w:rFonts w:ascii="Arial" w:eastAsia="Arial" w:hAnsi="Arial" w:cs="Arial"/>
          <w:w w:val="102"/>
          <w:sz w:val="21"/>
          <w:szCs w:val="21"/>
          <w:lang w:val="es-PE"/>
        </w:rPr>
        <w:t>i</w:t>
      </w:r>
      <w:r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ng</w:t>
      </w:r>
    </w:p>
    <w:p w:rsidR="00874C6F" w:rsidRDefault="00874C6F" w:rsidP="00874C6F">
      <w:pPr>
        <w:spacing w:before="8"/>
        <w:ind w:right="142"/>
        <w:jc w:val="both"/>
        <w:rPr>
          <w:rFonts w:ascii="Arial" w:eastAsia="Arial" w:hAnsi="Arial" w:cs="Arial"/>
          <w:w w:val="102"/>
          <w:sz w:val="21"/>
          <w:szCs w:val="21"/>
          <w:lang w:val="es-PE"/>
        </w:rPr>
      </w:pPr>
      <w:r>
        <w:rPr>
          <w:rFonts w:ascii="Arial" w:eastAsia="Arial" w:hAnsi="Arial" w:cs="Arial"/>
          <w:spacing w:val="1"/>
          <w:sz w:val="21"/>
          <w:szCs w:val="21"/>
          <w:lang w:val="es-PE"/>
        </w:rPr>
        <w:t>Tie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m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p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14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tr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g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I</w:t>
      </w:r>
      <w:r>
        <w:rPr>
          <w:rFonts w:ascii="Arial" w:eastAsia="Arial" w:hAnsi="Arial" w:cs="Arial"/>
          <w:spacing w:val="5"/>
          <w:sz w:val="21"/>
          <w:szCs w:val="21"/>
          <w:lang w:val="es-PE"/>
        </w:rPr>
        <w:t>n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med</w:t>
      </w:r>
      <w:r>
        <w:rPr>
          <w:rFonts w:ascii="Arial" w:eastAsia="Arial" w:hAnsi="Arial" w:cs="Arial"/>
          <w:spacing w:val="-6"/>
          <w:sz w:val="21"/>
          <w:szCs w:val="21"/>
          <w:lang w:val="es-PE"/>
        </w:rPr>
        <w:t>i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ata</w:t>
      </w:r>
      <w:r>
        <w:rPr>
          <w:rFonts w:ascii="Arial" w:eastAsia="Arial" w:hAnsi="Arial" w:cs="Arial"/>
          <w:sz w:val="21"/>
          <w:szCs w:val="21"/>
          <w:lang w:val="es-PE"/>
        </w:rPr>
        <w:t>,</w:t>
      </w:r>
      <w:r>
        <w:rPr>
          <w:rFonts w:ascii="Arial" w:eastAsia="Arial" w:hAnsi="Arial" w:cs="Arial"/>
          <w:spacing w:val="24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S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v</w:t>
      </w:r>
      <w:r>
        <w:rPr>
          <w:rFonts w:ascii="Arial" w:eastAsia="Arial" w:hAnsi="Arial" w:cs="Arial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12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  <w:lang w:val="es-PE"/>
        </w:rPr>
        <w:t>pr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>v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i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11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  <w:lang w:val="es-PE"/>
        </w:rPr>
        <w:t>ven</w:t>
      </w:r>
      <w:r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t</w:t>
      </w:r>
      <w:r>
        <w:rPr>
          <w:rFonts w:ascii="Arial" w:eastAsia="Arial" w:hAnsi="Arial" w:cs="Arial"/>
          <w:w w:val="102"/>
          <w:sz w:val="21"/>
          <w:szCs w:val="21"/>
          <w:lang w:val="es-PE"/>
        </w:rPr>
        <w:t>a</w:t>
      </w:r>
    </w:p>
    <w:p w:rsidR="00874C6F" w:rsidRDefault="00874C6F" w:rsidP="00874C6F">
      <w:pPr>
        <w:spacing w:before="8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z w:val="21"/>
          <w:szCs w:val="21"/>
          <w:lang w:val="es-PE"/>
        </w:rPr>
        <w:t>Entrega Técnica</w:t>
      </w:r>
      <w:r>
        <w:rPr>
          <w:rFonts w:ascii="Arial" w:eastAsia="Arial" w:hAnsi="Arial" w:cs="Arial"/>
          <w:sz w:val="21"/>
          <w:szCs w:val="21"/>
          <w:lang w:val="es-PE"/>
        </w:rPr>
        <w:tab/>
        <w:t>: En campo con un especialista CASE</w:t>
      </w:r>
    </w:p>
    <w:p w:rsidR="00874C6F" w:rsidRDefault="00874C6F" w:rsidP="00874C6F">
      <w:pPr>
        <w:spacing w:before="3"/>
        <w:ind w:right="142"/>
        <w:jc w:val="both"/>
        <w:rPr>
          <w:rFonts w:ascii="Arial" w:eastAsia="Arial" w:hAnsi="Arial" w:cs="Arial"/>
          <w:sz w:val="21"/>
          <w:szCs w:val="21"/>
          <w:lang w:val="es-PE"/>
        </w:rPr>
      </w:pPr>
      <w:r>
        <w:rPr>
          <w:rFonts w:ascii="Arial" w:eastAsia="Arial" w:hAnsi="Arial" w:cs="Arial"/>
          <w:spacing w:val="3"/>
          <w:sz w:val="21"/>
          <w:szCs w:val="21"/>
          <w:lang w:val="es-PE"/>
        </w:rPr>
        <w:t>Va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i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d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e</w:t>
      </w:r>
      <w:r>
        <w:rPr>
          <w:rFonts w:ascii="Arial" w:eastAsia="Arial" w:hAnsi="Arial" w:cs="Arial"/>
          <w:sz w:val="21"/>
          <w:szCs w:val="21"/>
          <w:lang w:val="es-PE"/>
        </w:rPr>
        <w:t>z</w:t>
      </w:r>
      <w:r>
        <w:rPr>
          <w:rFonts w:ascii="Arial" w:eastAsia="Arial" w:hAnsi="Arial" w:cs="Arial"/>
          <w:spacing w:val="19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d</w:t>
      </w:r>
      <w:r>
        <w:rPr>
          <w:rFonts w:ascii="Arial" w:eastAsia="Arial" w:hAnsi="Arial" w:cs="Arial"/>
          <w:sz w:val="21"/>
          <w:szCs w:val="21"/>
          <w:lang w:val="es-PE"/>
        </w:rPr>
        <w:t>e</w:t>
      </w:r>
      <w:r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l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o</w:t>
      </w:r>
      <w:r>
        <w:rPr>
          <w:rFonts w:ascii="Arial" w:eastAsia="Arial" w:hAnsi="Arial" w:cs="Arial"/>
          <w:spacing w:val="3"/>
          <w:sz w:val="21"/>
          <w:szCs w:val="21"/>
          <w:lang w:val="es-PE"/>
        </w:rPr>
        <w:t>fe</w:t>
      </w:r>
      <w:r>
        <w:rPr>
          <w:rFonts w:ascii="Arial" w:eastAsia="Arial" w:hAnsi="Arial" w:cs="Arial"/>
          <w:spacing w:val="-2"/>
          <w:sz w:val="21"/>
          <w:szCs w:val="21"/>
          <w:lang w:val="es-PE"/>
        </w:rPr>
        <w:t>r</w:t>
      </w:r>
      <w:r>
        <w:rPr>
          <w:rFonts w:ascii="Arial" w:eastAsia="Arial" w:hAnsi="Arial" w:cs="Arial"/>
          <w:spacing w:val="-7"/>
          <w:sz w:val="21"/>
          <w:szCs w:val="21"/>
          <w:lang w:val="es-PE"/>
        </w:rPr>
        <w:t>t</w:t>
      </w:r>
      <w:r>
        <w:rPr>
          <w:rFonts w:ascii="Arial" w:eastAsia="Arial" w:hAnsi="Arial" w:cs="Arial"/>
          <w:sz w:val="21"/>
          <w:szCs w:val="21"/>
          <w:lang w:val="es-PE"/>
        </w:rPr>
        <w:t>a</w:t>
      </w:r>
      <w:r>
        <w:rPr>
          <w:rFonts w:ascii="Arial" w:eastAsia="Arial" w:hAnsi="Arial" w:cs="Arial"/>
          <w:sz w:val="21"/>
          <w:szCs w:val="21"/>
          <w:lang w:val="es-PE"/>
        </w:rPr>
        <w:tab/>
        <w:t>:</w:t>
      </w:r>
      <w:r>
        <w:rPr>
          <w:rFonts w:ascii="Arial" w:eastAsia="Arial" w:hAnsi="Arial" w:cs="Arial"/>
          <w:spacing w:val="8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sz w:val="21"/>
          <w:szCs w:val="21"/>
          <w:lang w:val="es-PE"/>
        </w:rPr>
        <w:t>1</w:t>
      </w:r>
      <w:r>
        <w:rPr>
          <w:rFonts w:ascii="Arial" w:eastAsia="Arial" w:hAnsi="Arial" w:cs="Arial"/>
          <w:sz w:val="21"/>
          <w:szCs w:val="21"/>
          <w:lang w:val="es-PE"/>
        </w:rPr>
        <w:t>0</w:t>
      </w:r>
      <w:r>
        <w:rPr>
          <w:rFonts w:ascii="Arial" w:eastAsia="Arial" w:hAnsi="Arial" w:cs="Arial"/>
          <w:spacing w:val="10"/>
          <w:sz w:val="21"/>
          <w:szCs w:val="21"/>
          <w:lang w:val="es-PE"/>
        </w:rPr>
        <w:t xml:space="preserve"> </w:t>
      </w:r>
      <w:r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d</w:t>
      </w:r>
      <w:r>
        <w:rPr>
          <w:rFonts w:ascii="Arial" w:eastAsia="Arial" w:hAnsi="Arial" w:cs="Arial"/>
          <w:spacing w:val="3"/>
          <w:w w:val="102"/>
          <w:sz w:val="21"/>
          <w:szCs w:val="21"/>
          <w:lang w:val="es-PE"/>
        </w:rPr>
        <w:t>í</w:t>
      </w:r>
      <w:r>
        <w:rPr>
          <w:rFonts w:ascii="Arial" w:eastAsia="Arial" w:hAnsi="Arial" w:cs="Arial"/>
          <w:spacing w:val="-4"/>
          <w:w w:val="102"/>
          <w:sz w:val="21"/>
          <w:szCs w:val="21"/>
          <w:lang w:val="es-PE"/>
        </w:rPr>
        <w:t>a</w:t>
      </w:r>
      <w:r>
        <w:rPr>
          <w:rFonts w:ascii="Arial" w:eastAsia="Arial" w:hAnsi="Arial" w:cs="Arial"/>
          <w:w w:val="102"/>
          <w:sz w:val="21"/>
          <w:szCs w:val="21"/>
          <w:lang w:val="es-PE"/>
        </w:rPr>
        <w:t>s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  <w:r w:rsidRPr="00874C6F">
        <w:rPr>
          <w:rFonts w:ascii="Arial" w:hAnsi="Arial" w:cs="Arial"/>
          <w:sz w:val="22"/>
          <w:szCs w:val="22"/>
          <w:lang w:val="es-PE"/>
        </w:rPr>
        <w:t>Atte.</w:t>
      </w: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874C6F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  <w:bookmarkStart w:id="0" w:name="_GoBack"/>
      <w:bookmarkEnd w:id="0"/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  <w:lang w:val="en-US"/>
        </w:rPr>
      </w:pPr>
      <w:r w:rsidRPr="00874C6F">
        <w:rPr>
          <w:rFonts w:ascii="Arial" w:hAnsi="Arial" w:cs="Arial"/>
          <w:sz w:val="22"/>
          <w:szCs w:val="22"/>
          <w:lang w:val="es-PE"/>
        </w:rPr>
        <w:t xml:space="preserve">          </w:t>
      </w:r>
      <w:r>
        <w:rPr>
          <w:rFonts w:ascii="Arial" w:hAnsi="Arial" w:cs="Arial"/>
          <w:sz w:val="22"/>
          <w:szCs w:val="22"/>
          <w:lang w:val="en-US"/>
        </w:rPr>
        <w:t xml:space="preserve">José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Timoteo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S.</w:t>
      </w:r>
    </w:p>
    <w:p w:rsidR="00874C6F" w:rsidRDefault="00874C6F" w:rsidP="00874C6F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Gerente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Comercial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Case IH</w:t>
      </w:r>
    </w:p>
    <w:p w:rsidR="007C6423" w:rsidRPr="00874C6F" w:rsidRDefault="00874C6F" w:rsidP="00874C6F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n-US"/>
        </w:rPr>
        <w:t xml:space="preserve">           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</w:t>
      </w:r>
    </w:p>
    <w:sectPr w:rsidR="007C6423" w:rsidRPr="00874C6F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79C" w:rsidRDefault="00E9679C" w:rsidP="00A912F7">
      <w:r>
        <w:separator/>
      </w:r>
    </w:p>
  </w:endnote>
  <w:endnote w:type="continuationSeparator" w:id="0">
    <w:p w:rsidR="00E9679C" w:rsidRDefault="00E9679C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79C" w:rsidRDefault="00E9679C" w:rsidP="00A912F7">
      <w:r>
        <w:separator/>
      </w:r>
    </w:p>
  </w:footnote>
  <w:footnote w:type="continuationSeparator" w:id="0">
    <w:p w:rsidR="00E9679C" w:rsidRDefault="00E9679C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669E"/>
    <w:rsid w:val="00082D7C"/>
    <w:rsid w:val="000B0E5F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33965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6E5F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4C6F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1901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9679C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679BC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41A2B-EC7B-4E3B-BA96-E7BDE654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3</cp:revision>
  <cp:lastPrinted>2017-09-25T17:22:00Z</cp:lastPrinted>
  <dcterms:created xsi:type="dcterms:W3CDTF">2017-11-28T19:51:00Z</dcterms:created>
  <dcterms:modified xsi:type="dcterms:W3CDTF">2017-11-30T02:01:00Z</dcterms:modified>
</cp:coreProperties>
</file>