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954CB" w14:textId="5D94B6B9" w:rsidR="00AB6D6C" w:rsidRPr="00AB6D6C" w:rsidRDefault="00AB6D6C">
      <w:pPr>
        <w:rPr>
          <w:b/>
          <w:bCs/>
          <w:sz w:val="28"/>
          <w:szCs w:val="28"/>
        </w:rPr>
      </w:pPr>
      <w:r w:rsidRPr="00AB6D6C">
        <w:rPr>
          <w:b/>
          <w:bCs/>
          <w:sz w:val="28"/>
          <w:szCs w:val="28"/>
        </w:rPr>
        <w:t>CONTINGENCY THEORY AND THE EFFECTIVENESS OF MANAGEMENT STYLES IN DIFFERENT CULTURAL OR ORGANIZATIONAL CONTEXTS. </w:t>
      </w:r>
    </w:p>
    <w:p w14:paraId="79874F62" w14:textId="77777777" w:rsidR="00AB6D6C" w:rsidRDefault="00AB6D6C">
      <w:r w:rsidRPr="00AB6D6C">
        <w:t>Contingency Theory states that there is no one best way to manage or lead; effectiveness depends on the degree of fit between a leader's style, the situation and the surrounding environment</w:t>
      </w:r>
      <w:r>
        <w:t xml:space="preserve"> </w:t>
      </w:r>
      <w:r>
        <w:t>(Fiedler, 1967)</w:t>
      </w:r>
      <w:r w:rsidRPr="00AB6D6C">
        <w:t>. Managers must adjust their style to the different situational variables such as the structure of the task, the maturity of the follower, the systems possessed by the organization, the environment and the cultural values. </w:t>
      </w:r>
    </w:p>
    <w:p w14:paraId="7DE787F9" w14:textId="77777777" w:rsidR="00AB6D6C" w:rsidRDefault="00AB6D6C">
      <w:r w:rsidRPr="00AB6D6C">
        <w:t xml:space="preserve">In </w:t>
      </w:r>
      <w:r w:rsidRPr="00046D6F">
        <w:rPr>
          <w:b/>
          <w:bCs/>
        </w:rPr>
        <w:t>high power-distance cultures</w:t>
      </w:r>
      <w:r w:rsidRPr="00AB6D6C">
        <w:t xml:space="preserve"> such as Nigeria or China, authoritative leadership is likely to be very successful. Managers will be respected by their subordinates submitting to the authority of management. Subordinates will be aware of their place in the organizational hierarchy and will expect clear direction from authority figures. In </w:t>
      </w:r>
      <w:r w:rsidRPr="00046D6F">
        <w:rPr>
          <w:b/>
          <w:bCs/>
        </w:rPr>
        <w:t>low power-distance cultures</w:t>
      </w:r>
      <w:r w:rsidRPr="00AB6D6C">
        <w:t>, such as Sweden and Denmark, leadership is more participative. Subordinates appreciate equality and therefore enjoy being involved in decision-making</w:t>
      </w:r>
      <w:r>
        <w:t xml:space="preserve"> </w:t>
      </w:r>
      <w:r>
        <w:t>(Hofstede, 2010)</w:t>
      </w:r>
      <w:r w:rsidRPr="00AB6D6C">
        <w:t>. </w:t>
      </w:r>
    </w:p>
    <w:p w14:paraId="150D29BD" w14:textId="77777777" w:rsidR="00AB6D6C" w:rsidRDefault="00AB6D6C">
      <w:r w:rsidRPr="00AB6D6C">
        <w:t xml:space="preserve">Fiedler's model indicates that task-oriented leaders will perform better when they are in a structured situation. When the situation is ambiguous and uncertain, the relationship-oriented leaders will be more effective in the organization's situation. Similarly, the Situational Theories of Leadership, Hersey and Blanchard, which arise out of the contingency type of thinking, were used in </w:t>
      </w:r>
      <w:r w:rsidRPr="00046D6F">
        <w:rPr>
          <w:b/>
          <w:bCs/>
        </w:rPr>
        <w:t>Procter &amp; Gamble</w:t>
      </w:r>
      <w:r w:rsidRPr="00AB6D6C">
        <w:t>, where managers changed their style from directing through coaching, to finally delegating to their followers to provide them with the authority to do their jobs based on their level of competence</w:t>
      </w:r>
      <w:r>
        <w:t xml:space="preserve"> </w:t>
      </w:r>
      <w:r>
        <w:t>(</w:t>
      </w:r>
      <w:proofErr w:type="spellStart"/>
      <w:r>
        <w:t>Graeff</w:t>
      </w:r>
      <w:proofErr w:type="spellEnd"/>
      <w:r>
        <w:t>, 1997)</w:t>
      </w:r>
      <w:r w:rsidRPr="00AB6D6C">
        <w:t>. </w:t>
      </w:r>
    </w:p>
    <w:p w14:paraId="7BE73702" w14:textId="6AB1C6DA" w:rsidR="00AB6D6C" w:rsidRDefault="00AB6D6C">
      <w:r w:rsidRPr="00AB6D6C">
        <w:t xml:space="preserve">The </w:t>
      </w:r>
      <w:r w:rsidRPr="00046D6F">
        <w:rPr>
          <w:b/>
          <w:bCs/>
        </w:rPr>
        <w:t>GLOBE Project</w:t>
      </w:r>
      <w:r w:rsidRPr="00AB6D6C">
        <w:t xml:space="preserve"> also supports contextual fit. Transformational leadership, for example, is one clearly recognized style of leadership that is </w:t>
      </w:r>
      <w:proofErr w:type="spellStart"/>
      <w:r w:rsidRPr="00AB6D6C">
        <w:t>favored</w:t>
      </w:r>
      <w:proofErr w:type="spellEnd"/>
      <w:r w:rsidRPr="00AB6D6C">
        <w:t xml:space="preserve"> in all cultures, but the way it is implemented is totally different. Charismatic types of leadership work in Western cultures while humane-oriented types of leadership are suitable in collectivist culture countries such as Nigeria and India</w:t>
      </w:r>
      <w:r>
        <w:t xml:space="preserve"> </w:t>
      </w:r>
      <w:r>
        <w:t>(House et al., 2004)</w:t>
      </w:r>
      <w:r w:rsidRPr="00AB6D6C">
        <w:t>. To summarize, Contingency Theory suggests that managerial effectiveness will depend on a sensitivity to the context of the situation—before a leader is in a position to determine their style so that there can be performance and harmony, there must exist a firm grasp of cultural and organizational realities. </w:t>
      </w:r>
    </w:p>
    <w:p w14:paraId="412688D7" w14:textId="77777777" w:rsidR="00AB6D6C" w:rsidRDefault="00AB6D6C"/>
    <w:p w14:paraId="539DE046" w14:textId="77777777" w:rsidR="00AB6D6C" w:rsidRPr="00AB6D6C" w:rsidRDefault="00AB6D6C">
      <w:pPr>
        <w:rPr>
          <w:b/>
          <w:bCs/>
        </w:rPr>
      </w:pPr>
      <w:r w:rsidRPr="00AB6D6C">
        <w:rPr>
          <w:b/>
          <w:bCs/>
          <w:sz w:val="28"/>
          <w:szCs w:val="28"/>
        </w:rPr>
        <w:t>UNIVERSAL AND PARTICULARISTIC THEORIES OF LEADERSHIP IN MANAGING MULTINATIONAL TEAMS</w:t>
      </w:r>
      <w:r w:rsidRPr="00AB6D6C">
        <w:rPr>
          <w:b/>
          <w:bCs/>
          <w:sz w:val="24"/>
          <w:szCs w:val="24"/>
        </w:rPr>
        <w:t>. </w:t>
      </w:r>
    </w:p>
    <w:p w14:paraId="3AE4AD6B" w14:textId="77777777" w:rsidR="00F60F75" w:rsidRDefault="00AB6D6C">
      <w:r w:rsidRPr="00046D6F">
        <w:rPr>
          <w:b/>
          <w:bCs/>
        </w:rPr>
        <w:t>Universalistic Theory</w:t>
      </w:r>
      <w:r w:rsidRPr="00AB6D6C">
        <w:t xml:space="preserve"> says that some principles of management are known to be valid universally. </w:t>
      </w:r>
      <w:r w:rsidRPr="00046D6F">
        <w:rPr>
          <w:b/>
          <w:bCs/>
        </w:rPr>
        <w:t>Particularistic Theory</w:t>
      </w:r>
      <w:r w:rsidRPr="00AB6D6C">
        <w:t xml:space="preserve"> says that particular practices of management must have regard to local cultural or situational influences affecting activities</w:t>
      </w:r>
      <w:r w:rsidR="00F60F75">
        <w:t xml:space="preserve"> </w:t>
      </w:r>
      <w:r w:rsidR="00F60F75">
        <w:t>(Trompenaars &amp; Hampden-Turner, 2012)</w:t>
      </w:r>
      <w:r w:rsidRPr="00AB6D6C">
        <w:t>. </w:t>
      </w:r>
    </w:p>
    <w:p w14:paraId="74855C18" w14:textId="75B31B61" w:rsidR="00080EAD" w:rsidRDefault="00AB6D6C">
      <w:r w:rsidRPr="00AB6D6C">
        <w:t xml:space="preserve">Universalism emphasizes standardization, or organizational uniformity, of such things as the corporate policy of the organization, business ethics of the company and the basis on which performance will be measured, that is by such variables as fairness of rules, ethics and measured performance standards that can apply to all. For example, </w:t>
      </w:r>
      <w:r w:rsidRPr="00046D6F">
        <w:rPr>
          <w:b/>
          <w:bCs/>
        </w:rPr>
        <w:t>IBM</w:t>
      </w:r>
      <w:r w:rsidRPr="00AB6D6C">
        <w:t xml:space="preserve"> and </w:t>
      </w:r>
      <w:r w:rsidRPr="00046D6F">
        <w:rPr>
          <w:b/>
          <w:bCs/>
        </w:rPr>
        <w:t>McDonald’s</w:t>
      </w:r>
      <w:r w:rsidRPr="00AB6D6C">
        <w:t xml:space="preserve"> have uniformity methods of human resources and ethics that they follow so that the employees in their organizations have the same experience in all locations where these companies happen to be</w:t>
      </w:r>
      <w:r w:rsidR="00080EAD">
        <w:t xml:space="preserve"> </w:t>
      </w:r>
      <w:r w:rsidR="00080EAD">
        <w:t>(Brewster et al., 2016)</w:t>
      </w:r>
      <w:r w:rsidRPr="00AB6D6C">
        <w:t>. </w:t>
      </w:r>
    </w:p>
    <w:p w14:paraId="434556F8" w14:textId="77777777" w:rsidR="00046D6F" w:rsidRDefault="00AB6D6C">
      <w:r w:rsidRPr="00AB6D6C">
        <w:lastRenderedPageBreak/>
        <w:t xml:space="preserve">On the other hand, particularism emphasizes flexibility in management. Organizations such as </w:t>
      </w:r>
      <w:r w:rsidRPr="00046D6F">
        <w:rPr>
          <w:b/>
          <w:bCs/>
        </w:rPr>
        <w:t>Unilever</w:t>
      </w:r>
      <w:r w:rsidRPr="00AB6D6C">
        <w:t xml:space="preserve"> and </w:t>
      </w:r>
      <w:r w:rsidRPr="00046D6F">
        <w:rPr>
          <w:b/>
          <w:bCs/>
        </w:rPr>
        <w:t>Nestlé</w:t>
      </w:r>
      <w:r w:rsidRPr="00AB6D6C">
        <w:t xml:space="preserve"> adapt their motivational variances to local expectations and the motivation based on group results and moral leadership will be better in Asian countries than in Western countries, where it is more for individual recognition. Trompenaars (1993) and Hofstede (2010), for example, each conclude from a number of empirical studies that policies uniformly applied are in many instances in contravention to local customs giving rise to lack of motivation and central cohesiveness. </w:t>
      </w:r>
    </w:p>
    <w:p w14:paraId="3BE95DBD" w14:textId="77777777" w:rsidR="00046D6F" w:rsidRDefault="00AB6D6C">
      <w:r w:rsidRPr="00AB6D6C">
        <w:t xml:space="preserve">The implication, particularly as to </w:t>
      </w:r>
      <w:r w:rsidRPr="00AF326A">
        <w:rPr>
          <w:b/>
          <w:bCs/>
        </w:rPr>
        <w:t>cross-cultural leadership</w:t>
      </w:r>
      <w:r w:rsidRPr="00AB6D6C">
        <w:t xml:space="preserve">, is balance. Effective leaders in the multinational kind of organization should combine some degree of universal principles of organizational </w:t>
      </w:r>
      <w:proofErr w:type="spellStart"/>
      <w:r w:rsidRPr="00AB6D6C">
        <w:t>behavior</w:t>
      </w:r>
      <w:proofErr w:type="spellEnd"/>
      <w:r w:rsidRPr="00AB6D6C">
        <w:t>—such principles as integrity and innovation—with a particularism attitude that ensures effectiveness and cultural diversity is observed. This is a “</w:t>
      </w:r>
      <w:proofErr w:type="spellStart"/>
      <w:r w:rsidRPr="00AB6D6C">
        <w:t>glocal</w:t>
      </w:r>
      <w:proofErr w:type="spellEnd"/>
      <w:r w:rsidRPr="00AB6D6C">
        <w:t>” attitude which implant this degree of inclusiveness and communication of trust in inter-team group work that will be needed</w:t>
      </w:r>
      <w:r w:rsidR="00046D6F">
        <w:t xml:space="preserve"> </w:t>
      </w:r>
      <w:r w:rsidR="00046D6F">
        <w:t>(</w:t>
      </w:r>
      <w:proofErr w:type="spellStart"/>
      <w:r w:rsidR="00046D6F">
        <w:t>Rockstuhl</w:t>
      </w:r>
      <w:proofErr w:type="spellEnd"/>
      <w:r w:rsidR="00046D6F">
        <w:t xml:space="preserve"> et al., 2011)</w:t>
      </w:r>
      <w:r w:rsidRPr="00AB6D6C">
        <w:t>. </w:t>
      </w:r>
    </w:p>
    <w:p w14:paraId="3CCE07D8" w14:textId="48D9CB34" w:rsidR="00A15FF5" w:rsidRDefault="00A15FF5"/>
    <w:p w14:paraId="6D006809" w14:textId="77777777" w:rsidR="00046D6F" w:rsidRPr="00046D6F" w:rsidRDefault="00046D6F" w:rsidP="00046D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46D6F">
        <w:rPr>
          <w:rFonts w:ascii="Times New Roman" w:eastAsia="Times New Roman" w:hAnsi="Times New Roman" w:cs="Times New Roman"/>
          <w:b/>
          <w:bCs/>
          <w:kern w:val="36"/>
          <w:sz w:val="48"/>
          <w:szCs w:val="48"/>
          <w:lang w:eastAsia="en-GB"/>
        </w:rPr>
        <w:t>References</w:t>
      </w:r>
    </w:p>
    <w:p w14:paraId="43A41EED" w14:textId="77777777" w:rsidR="00046D6F" w:rsidRPr="00046D6F" w:rsidRDefault="00046D6F" w:rsidP="00046D6F">
      <w:pPr>
        <w:spacing w:before="100" w:beforeAutospacing="1" w:after="100" w:afterAutospacing="1" w:line="240" w:lineRule="auto"/>
        <w:rPr>
          <w:rFonts w:ascii="Times New Roman" w:eastAsia="Times New Roman" w:hAnsi="Times New Roman" w:cs="Times New Roman"/>
          <w:sz w:val="24"/>
          <w:szCs w:val="24"/>
          <w:lang w:eastAsia="en-GB"/>
        </w:rPr>
      </w:pPr>
      <w:r w:rsidRPr="00046D6F">
        <w:rPr>
          <w:rFonts w:ascii="Times New Roman" w:eastAsia="Times New Roman" w:hAnsi="Times New Roman" w:cs="Times New Roman"/>
          <w:sz w:val="24"/>
          <w:szCs w:val="24"/>
          <w:lang w:eastAsia="en-GB"/>
        </w:rPr>
        <w:t xml:space="preserve">Brewster, C., Chung, C., &amp; Sparrow, P. (2016). </w:t>
      </w:r>
      <w:r w:rsidRPr="00046D6F">
        <w:rPr>
          <w:rFonts w:ascii="Times New Roman" w:eastAsia="Times New Roman" w:hAnsi="Times New Roman" w:cs="Times New Roman"/>
          <w:i/>
          <w:iCs/>
          <w:sz w:val="24"/>
          <w:szCs w:val="24"/>
          <w:lang w:eastAsia="en-GB"/>
        </w:rPr>
        <w:t>Globalizing human resource management.</w:t>
      </w:r>
      <w:r w:rsidRPr="00046D6F">
        <w:rPr>
          <w:rFonts w:ascii="Times New Roman" w:eastAsia="Times New Roman" w:hAnsi="Times New Roman" w:cs="Times New Roman"/>
          <w:sz w:val="24"/>
          <w:szCs w:val="24"/>
          <w:lang w:eastAsia="en-GB"/>
        </w:rPr>
        <w:t xml:space="preserve"> Routledge.</w:t>
      </w:r>
    </w:p>
    <w:p w14:paraId="0A4340A5" w14:textId="77777777" w:rsidR="00046D6F" w:rsidRPr="00046D6F" w:rsidRDefault="00046D6F" w:rsidP="00046D6F">
      <w:pPr>
        <w:spacing w:before="100" w:beforeAutospacing="1" w:after="100" w:afterAutospacing="1" w:line="240" w:lineRule="auto"/>
        <w:rPr>
          <w:rFonts w:ascii="Times New Roman" w:eastAsia="Times New Roman" w:hAnsi="Times New Roman" w:cs="Times New Roman"/>
          <w:sz w:val="24"/>
          <w:szCs w:val="24"/>
          <w:lang w:eastAsia="en-GB"/>
        </w:rPr>
      </w:pPr>
      <w:r w:rsidRPr="00046D6F">
        <w:rPr>
          <w:rFonts w:ascii="Times New Roman" w:eastAsia="Times New Roman" w:hAnsi="Times New Roman" w:cs="Times New Roman"/>
          <w:sz w:val="24"/>
          <w:szCs w:val="24"/>
          <w:lang w:eastAsia="en-GB"/>
        </w:rPr>
        <w:t xml:space="preserve">Fiedler, F. E. (1967). </w:t>
      </w:r>
      <w:r w:rsidRPr="00046D6F">
        <w:rPr>
          <w:rFonts w:ascii="Times New Roman" w:eastAsia="Times New Roman" w:hAnsi="Times New Roman" w:cs="Times New Roman"/>
          <w:i/>
          <w:iCs/>
          <w:sz w:val="24"/>
          <w:szCs w:val="24"/>
          <w:lang w:eastAsia="en-GB"/>
        </w:rPr>
        <w:t>A theory of leadership effectiveness.</w:t>
      </w:r>
      <w:r w:rsidRPr="00046D6F">
        <w:rPr>
          <w:rFonts w:ascii="Times New Roman" w:eastAsia="Times New Roman" w:hAnsi="Times New Roman" w:cs="Times New Roman"/>
          <w:sz w:val="24"/>
          <w:szCs w:val="24"/>
          <w:lang w:eastAsia="en-GB"/>
        </w:rPr>
        <w:t xml:space="preserve"> McGraw-Hill.</w:t>
      </w:r>
    </w:p>
    <w:p w14:paraId="5113A58D" w14:textId="77777777" w:rsidR="00046D6F" w:rsidRPr="00046D6F" w:rsidRDefault="00046D6F" w:rsidP="00046D6F">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46D6F">
        <w:rPr>
          <w:rFonts w:ascii="Times New Roman" w:eastAsia="Times New Roman" w:hAnsi="Times New Roman" w:cs="Times New Roman"/>
          <w:sz w:val="24"/>
          <w:szCs w:val="24"/>
          <w:lang w:eastAsia="en-GB"/>
        </w:rPr>
        <w:t>Graeff</w:t>
      </w:r>
      <w:proofErr w:type="spellEnd"/>
      <w:r w:rsidRPr="00046D6F">
        <w:rPr>
          <w:rFonts w:ascii="Times New Roman" w:eastAsia="Times New Roman" w:hAnsi="Times New Roman" w:cs="Times New Roman"/>
          <w:sz w:val="24"/>
          <w:szCs w:val="24"/>
          <w:lang w:eastAsia="en-GB"/>
        </w:rPr>
        <w:t xml:space="preserve">, C. L. (1997). Evolution of situational leadership theory: A critical review. </w:t>
      </w:r>
      <w:r w:rsidRPr="00046D6F">
        <w:rPr>
          <w:rFonts w:ascii="Times New Roman" w:eastAsia="Times New Roman" w:hAnsi="Times New Roman" w:cs="Times New Roman"/>
          <w:i/>
          <w:iCs/>
          <w:sz w:val="24"/>
          <w:szCs w:val="24"/>
          <w:lang w:eastAsia="en-GB"/>
        </w:rPr>
        <w:t>The Leadership Quarterly, 8</w:t>
      </w:r>
      <w:r w:rsidRPr="00046D6F">
        <w:rPr>
          <w:rFonts w:ascii="Times New Roman" w:eastAsia="Times New Roman" w:hAnsi="Times New Roman" w:cs="Times New Roman"/>
          <w:sz w:val="24"/>
          <w:szCs w:val="24"/>
          <w:lang w:eastAsia="en-GB"/>
        </w:rPr>
        <w:t>(2), 153–170. https://doi.org/10.1016/S1048-9843(97)90014-X</w:t>
      </w:r>
    </w:p>
    <w:p w14:paraId="79C2E11E" w14:textId="77777777" w:rsidR="00046D6F" w:rsidRPr="00046D6F" w:rsidRDefault="00046D6F" w:rsidP="00046D6F">
      <w:pPr>
        <w:spacing w:before="100" w:beforeAutospacing="1" w:after="100" w:afterAutospacing="1" w:line="240" w:lineRule="auto"/>
        <w:rPr>
          <w:rFonts w:ascii="Times New Roman" w:eastAsia="Times New Roman" w:hAnsi="Times New Roman" w:cs="Times New Roman"/>
          <w:sz w:val="24"/>
          <w:szCs w:val="24"/>
          <w:lang w:eastAsia="en-GB"/>
        </w:rPr>
      </w:pPr>
      <w:r w:rsidRPr="00046D6F">
        <w:rPr>
          <w:rFonts w:ascii="Times New Roman" w:eastAsia="Times New Roman" w:hAnsi="Times New Roman" w:cs="Times New Roman"/>
          <w:sz w:val="24"/>
          <w:szCs w:val="24"/>
          <w:lang w:eastAsia="en-GB"/>
        </w:rPr>
        <w:t xml:space="preserve">Hofstede, G. (2010). </w:t>
      </w:r>
      <w:r w:rsidRPr="00046D6F">
        <w:rPr>
          <w:rFonts w:ascii="Times New Roman" w:eastAsia="Times New Roman" w:hAnsi="Times New Roman" w:cs="Times New Roman"/>
          <w:i/>
          <w:iCs/>
          <w:sz w:val="24"/>
          <w:szCs w:val="24"/>
          <w:lang w:eastAsia="en-GB"/>
        </w:rPr>
        <w:t>Cultures and organizations: Software of the mind</w:t>
      </w:r>
      <w:r w:rsidRPr="00046D6F">
        <w:rPr>
          <w:rFonts w:ascii="Times New Roman" w:eastAsia="Times New Roman" w:hAnsi="Times New Roman" w:cs="Times New Roman"/>
          <w:sz w:val="24"/>
          <w:szCs w:val="24"/>
          <w:lang w:eastAsia="en-GB"/>
        </w:rPr>
        <w:t xml:space="preserve"> (3rd ed.). McGraw-Hill.</w:t>
      </w:r>
    </w:p>
    <w:p w14:paraId="4443465E" w14:textId="77777777" w:rsidR="00046D6F" w:rsidRPr="00046D6F" w:rsidRDefault="00046D6F" w:rsidP="00046D6F">
      <w:pPr>
        <w:spacing w:before="100" w:beforeAutospacing="1" w:after="100" w:afterAutospacing="1" w:line="240" w:lineRule="auto"/>
        <w:rPr>
          <w:rFonts w:ascii="Times New Roman" w:eastAsia="Times New Roman" w:hAnsi="Times New Roman" w:cs="Times New Roman"/>
          <w:sz w:val="24"/>
          <w:szCs w:val="24"/>
          <w:lang w:eastAsia="en-GB"/>
        </w:rPr>
      </w:pPr>
      <w:r w:rsidRPr="00046D6F">
        <w:rPr>
          <w:rFonts w:ascii="Times New Roman" w:eastAsia="Times New Roman" w:hAnsi="Times New Roman" w:cs="Times New Roman"/>
          <w:sz w:val="24"/>
          <w:szCs w:val="24"/>
          <w:lang w:eastAsia="en-GB"/>
        </w:rPr>
        <w:t xml:space="preserve">House, R. J., </w:t>
      </w:r>
      <w:proofErr w:type="spellStart"/>
      <w:r w:rsidRPr="00046D6F">
        <w:rPr>
          <w:rFonts w:ascii="Times New Roman" w:eastAsia="Times New Roman" w:hAnsi="Times New Roman" w:cs="Times New Roman"/>
          <w:sz w:val="24"/>
          <w:szCs w:val="24"/>
          <w:lang w:eastAsia="en-GB"/>
        </w:rPr>
        <w:t>Hanges</w:t>
      </w:r>
      <w:proofErr w:type="spellEnd"/>
      <w:r w:rsidRPr="00046D6F">
        <w:rPr>
          <w:rFonts w:ascii="Times New Roman" w:eastAsia="Times New Roman" w:hAnsi="Times New Roman" w:cs="Times New Roman"/>
          <w:sz w:val="24"/>
          <w:szCs w:val="24"/>
          <w:lang w:eastAsia="en-GB"/>
        </w:rPr>
        <w:t xml:space="preserve">, P. J., </w:t>
      </w:r>
      <w:proofErr w:type="spellStart"/>
      <w:r w:rsidRPr="00046D6F">
        <w:rPr>
          <w:rFonts w:ascii="Times New Roman" w:eastAsia="Times New Roman" w:hAnsi="Times New Roman" w:cs="Times New Roman"/>
          <w:sz w:val="24"/>
          <w:szCs w:val="24"/>
          <w:lang w:eastAsia="en-GB"/>
        </w:rPr>
        <w:t>Javidan</w:t>
      </w:r>
      <w:proofErr w:type="spellEnd"/>
      <w:r w:rsidRPr="00046D6F">
        <w:rPr>
          <w:rFonts w:ascii="Times New Roman" w:eastAsia="Times New Roman" w:hAnsi="Times New Roman" w:cs="Times New Roman"/>
          <w:sz w:val="24"/>
          <w:szCs w:val="24"/>
          <w:lang w:eastAsia="en-GB"/>
        </w:rPr>
        <w:t xml:space="preserve">, M., Dorfman, P. W., &amp; Gupta, V. (Eds.). (2004). </w:t>
      </w:r>
      <w:r w:rsidRPr="00046D6F">
        <w:rPr>
          <w:rFonts w:ascii="Times New Roman" w:eastAsia="Times New Roman" w:hAnsi="Times New Roman" w:cs="Times New Roman"/>
          <w:i/>
          <w:iCs/>
          <w:sz w:val="24"/>
          <w:szCs w:val="24"/>
          <w:lang w:eastAsia="en-GB"/>
        </w:rPr>
        <w:t>Culture, leadership, and organizations: The GLOBE study of 62 societies.</w:t>
      </w:r>
      <w:r w:rsidRPr="00046D6F">
        <w:rPr>
          <w:rFonts w:ascii="Times New Roman" w:eastAsia="Times New Roman" w:hAnsi="Times New Roman" w:cs="Times New Roman"/>
          <w:sz w:val="24"/>
          <w:szCs w:val="24"/>
          <w:lang w:eastAsia="en-GB"/>
        </w:rPr>
        <w:t xml:space="preserve"> Sage.</w:t>
      </w:r>
    </w:p>
    <w:p w14:paraId="63EF5166" w14:textId="77777777" w:rsidR="00046D6F" w:rsidRPr="00046D6F" w:rsidRDefault="00046D6F" w:rsidP="00046D6F">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046D6F">
        <w:rPr>
          <w:rFonts w:ascii="Times New Roman" w:eastAsia="Times New Roman" w:hAnsi="Times New Roman" w:cs="Times New Roman"/>
          <w:sz w:val="24"/>
          <w:szCs w:val="24"/>
          <w:lang w:eastAsia="en-GB"/>
        </w:rPr>
        <w:t>Rockstuhl</w:t>
      </w:r>
      <w:proofErr w:type="spellEnd"/>
      <w:r w:rsidRPr="00046D6F">
        <w:rPr>
          <w:rFonts w:ascii="Times New Roman" w:eastAsia="Times New Roman" w:hAnsi="Times New Roman" w:cs="Times New Roman"/>
          <w:sz w:val="24"/>
          <w:szCs w:val="24"/>
          <w:lang w:eastAsia="en-GB"/>
        </w:rPr>
        <w:t xml:space="preserve">, T., Seiler, S., Ang, S., Van Dyne, L., &amp; </w:t>
      </w:r>
      <w:proofErr w:type="spellStart"/>
      <w:r w:rsidRPr="00046D6F">
        <w:rPr>
          <w:rFonts w:ascii="Times New Roman" w:eastAsia="Times New Roman" w:hAnsi="Times New Roman" w:cs="Times New Roman"/>
          <w:sz w:val="24"/>
          <w:szCs w:val="24"/>
          <w:lang w:eastAsia="en-GB"/>
        </w:rPr>
        <w:t>Annen</w:t>
      </w:r>
      <w:proofErr w:type="spellEnd"/>
      <w:r w:rsidRPr="00046D6F">
        <w:rPr>
          <w:rFonts w:ascii="Times New Roman" w:eastAsia="Times New Roman" w:hAnsi="Times New Roman" w:cs="Times New Roman"/>
          <w:sz w:val="24"/>
          <w:szCs w:val="24"/>
          <w:lang w:eastAsia="en-GB"/>
        </w:rPr>
        <w:t xml:space="preserve">, H. (2011). Beyond general intelligence (IQ) and emotional intelligence (EQ): The role of cultural intelligence (CQ) in cross-border leadership effectiveness. </w:t>
      </w:r>
      <w:r w:rsidRPr="00046D6F">
        <w:rPr>
          <w:rFonts w:ascii="Times New Roman" w:eastAsia="Times New Roman" w:hAnsi="Times New Roman" w:cs="Times New Roman"/>
          <w:i/>
          <w:iCs/>
          <w:sz w:val="24"/>
          <w:szCs w:val="24"/>
          <w:lang w:eastAsia="en-GB"/>
        </w:rPr>
        <w:t>Journal of Social Issues, 67</w:t>
      </w:r>
      <w:r w:rsidRPr="00046D6F">
        <w:rPr>
          <w:rFonts w:ascii="Times New Roman" w:eastAsia="Times New Roman" w:hAnsi="Times New Roman" w:cs="Times New Roman"/>
          <w:sz w:val="24"/>
          <w:szCs w:val="24"/>
          <w:lang w:eastAsia="en-GB"/>
        </w:rPr>
        <w:t>(4), 825–840. https://doi.org/10.1111/j.1540-4560.2011.01730.x</w:t>
      </w:r>
    </w:p>
    <w:p w14:paraId="6F129A4E" w14:textId="77777777" w:rsidR="00046D6F" w:rsidRPr="00046D6F" w:rsidRDefault="00046D6F" w:rsidP="00046D6F">
      <w:pPr>
        <w:spacing w:before="100" w:beforeAutospacing="1" w:after="100" w:afterAutospacing="1" w:line="240" w:lineRule="auto"/>
        <w:rPr>
          <w:rFonts w:ascii="Times New Roman" w:eastAsia="Times New Roman" w:hAnsi="Times New Roman" w:cs="Times New Roman"/>
          <w:sz w:val="24"/>
          <w:szCs w:val="24"/>
          <w:lang w:eastAsia="en-GB"/>
        </w:rPr>
      </w:pPr>
      <w:r w:rsidRPr="00046D6F">
        <w:rPr>
          <w:rFonts w:ascii="Times New Roman" w:eastAsia="Times New Roman" w:hAnsi="Times New Roman" w:cs="Times New Roman"/>
          <w:sz w:val="24"/>
          <w:szCs w:val="24"/>
          <w:lang w:eastAsia="en-GB"/>
        </w:rPr>
        <w:t xml:space="preserve">Trompenaars, F., &amp; Hampden-Turner, C. (2012). </w:t>
      </w:r>
      <w:r w:rsidRPr="00046D6F">
        <w:rPr>
          <w:rFonts w:ascii="Times New Roman" w:eastAsia="Times New Roman" w:hAnsi="Times New Roman" w:cs="Times New Roman"/>
          <w:i/>
          <w:iCs/>
          <w:sz w:val="24"/>
          <w:szCs w:val="24"/>
          <w:lang w:eastAsia="en-GB"/>
        </w:rPr>
        <w:t>Riding the waves of culture: Understanding diversity in global business</w:t>
      </w:r>
      <w:r w:rsidRPr="00046D6F">
        <w:rPr>
          <w:rFonts w:ascii="Times New Roman" w:eastAsia="Times New Roman" w:hAnsi="Times New Roman" w:cs="Times New Roman"/>
          <w:sz w:val="24"/>
          <w:szCs w:val="24"/>
          <w:lang w:eastAsia="en-GB"/>
        </w:rPr>
        <w:t xml:space="preserve"> (3rd ed.). Nicholas Brealey.</w:t>
      </w:r>
    </w:p>
    <w:p w14:paraId="66555FE9" w14:textId="77777777" w:rsidR="00046D6F" w:rsidRDefault="00046D6F"/>
    <w:sectPr w:rsidR="00046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6C"/>
    <w:rsid w:val="00046D6F"/>
    <w:rsid w:val="00080EAD"/>
    <w:rsid w:val="00A15FF5"/>
    <w:rsid w:val="00AB6D6C"/>
    <w:rsid w:val="00AF326A"/>
    <w:rsid w:val="00F60F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D452"/>
  <w15:chartTrackingRefBased/>
  <w15:docId w15:val="{A4251107-C47F-48C0-8CE8-B5208EFD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6D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D6F"/>
    <w:rPr>
      <w:rFonts w:ascii="Times New Roman" w:eastAsia="Times New Roman" w:hAnsi="Times New Roman" w:cs="Times New Roman"/>
      <w:b/>
      <w:bCs/>
      <w:kern w:val="36"/>
      <w:sz w:val="48"/>
      <w:szCs w:val="48"/>
      <w:lang w:eastAsia="en-GB"/>
    </w:rPr>
  </w:style>
  <w:style w:type="character" w:styleId="Strong">
    <w:name w:val="Strong"/>
    <w:basedOn w:val="DefaultParagraphFont"/>
    <w:uiPriority w:val="22"/>
    <w:qFormat/>
    <w:rsid w:val="00046D6F"/>
    <w:rPr>
      <w:b/>
      <w:bCs/>
    </w:rPr>
  </w:style>
  <w:style w:type="paragraph" w:styleId="NormalWeb">
    <w:name w:val="Normal (Web)"/>
    <w:basedOn w:val="Normal"/>
    <w:uiPriority w:val="99"/>
    <w:semiHidden/>
    <w:unhideWhenUsed/>
    <w:rsid w:val="00046D6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046D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52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Oriwoh</dc:creator>
  <cp:keywords/>
  <dc:description/>
  <cp:lastModifiedBy>Jennifer Oriwoh</cp:lastModifiedBy>
  <cp:revision>1</cp:revision>
  <dcterms:created xsi:type="dcterms:W3CDTF">2025-10-09T12:47:00Z</dcterms:created>
  <dcterms:modified xsi:type="dcterms:W3CDTF">2025-10-09T13:59:00Z</dcterms:modified>
</cp:coreProperties>
</file>