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0D291" w14:textId="0062A650" w:rsidR="00C944EF" w:rsidRPr="00C944EF" w:rsidRDefault="00C944EF" w:rsidP="00C944EF">
      <w:pPr>
        <w:jc w:val="both"/>
        <w:rPr>
          <w:rFonts w:ascii="Times New Roman" w:hAnsi="Times New Roman" w:cs="Times New Roman"/>
          <w:b/>
          <w:bCs/>
          <w:sz w:val="72"/>
          <w:szCs w:val="72"/>
        </w:rPr>
      </w:pPr>
      <w:r w:rsidRPr="00C944EF">
        <w:rPr>
          <w:rFonts w:ascii="Times New Roman" w:hAnsi="Times New Roman" w:cs="Times New Roman"/>
          <w:b/>
          <w:bCs/>
          <w:sz w:val="72"/>
          <w:szCs w:val="72"/>
        </w:rPr>
        <w:t>THE STRATEGIC ROLE OF CORPORATE SOCIAL RESPONSIBILITY IN SHAPING ORGANISATIONAL PERFORMANCE: A CRITICAL ANALYSIS OF MTN NIGERIA COMMUNICATIONS PLC</w:t>
      </w:r>
    </w:p>
    <w:p w14:paraId="186A99AA" w14:textId="4C95D231" w:rsidR="00C944EF" w:rsidRDefault="00C944EF" w:rsidP="00C944EF">
      <w:pPr>
        <w:jc w:val="both"/>
        <w:rPr>
          <w:rFonts w:ascii="Times New Roman" w:hAnsi="Times New Roman" w:cs="Times New Roman"/>
          <w:b/>
          <w:bCs/>
          <w:sz w:val="24"/>
          <w:szCs w:val="24"/>
        </w:rPr>
      </w:pPr>
    </w:p>
    <w:p w14:paraId="2AAD8DED" w14:textId="5F2A74B1" w:rsidR="00C944EF" w:rsidRDefault="00C944EF" w:rsidP="00C944EF">
      <w:pPr>
        <w:jc w:val="both"/>
        <w:rPr>
          <w:rFonts w:ascii="Times New Roman" w:hAnsi="Times New Roman" w:cs="Times New Roman"/>
          <w:b/>
          <w:bCs/>
          <w:sz w:val="24"/>
          <w:szCs w:val="24"/>
        </w:rPr>
      </w:pPr>
    </w:p>
    <w:p w14:paraId="7ACBA1F5" w14:textId="71113747" w:rsidR="00C944EF" w:rsidRDefault="00C944EF" w:rsidP="00C944EF">
      <w:pPr>
        <w:jc w:val="both"/>
        <w:rPr>
          <w:rFonts w:ascii="Times New Roman" w:hAnsi="Times New Roman" w:cs="Times New Roman"/>
          <w:b/>
          <w:bCs/>
          <w:sz w:val="24"/>
          <w:szCs w:val="24"/>
        </w:rPr>
      </w:pPr>
    </w:p>
    <w:p w14:paraId="3C8281A0" w14:textId="75B3A114" w:rsidR="00C944EF" w:rsidRDefault="00C944EF" w:rsidP="00C944EF">
      <w:pPr>
        <w:jc w:val="both"/>
        <w:rPr>
          <w:rFonts w:ascii="Times New Roman" w:hAnsi="Times New Roman" w:cs="Times New Roman"/>
          <w:b/>
          <w:bCs/>
          <w:sz w:val="24"/>
          <w:szCs w:val="24"/>
        </w:rPr>
      </w:pPr>
    </w:p>
    <w:p w14:paraId="073760D3" w14:textId="728A2922" w:rsidR="00C944EF" w:rsidRDefault="00C944EF" w:rsidP="00C944EF">
      <w:pPr>
        <w:jc w:val="both"/>
        <w:rPr>
          <w:rFonts w:ascii="Times New Roman" w:hAnsi="Times New Roman" w:cs="Times New Roman"/>
          <w:b/>
          <w:bCs/>
          <w:sz w:val="24"/>
          <w:szCs w:val="24"/>
        </w:rPr>
      </w:pPr>
    </w:p>
    <w:p w14:paraId="3958FD2E" w14:textId="25F5A30E" w:rsidR="00C944EF" w:rsidRDefault="00C944EF" w:rsidP="00C944EF">
      <w:pPr>
        <w:jc w:val="both"/>
        <w:rPr>
          <w:rFonts w:ascii="Times New Roman" w:hAnsi="Times New Roman" w:cs="Times New Roman"/>
          <w:b/>
          <w:bCs/>
          <w:sz w:val="24"/>
          <w:szCs w:val="24"/>
        </w:rPr>
      </w:pPr>
    </w:p>
    <w:p w14:paraId="5B7D25A7" w14:textId="6B1A6224" w:rsidR="00C944EF" w:rsidRDefault="00C944EF" w:rsidP="00C944EF">
      <w:pPr>
        <w:jc w:val="both"/>
        <w:rPr>
          <w:rFonts w:ascii="Times New Roman" w:hAnsi="Times New Roman" w:cs="Times New Roman"/>
          <w:b/>
          <w:bCs/>
          <w:sz w:val="24"/>
          <w:szCs w:val="24"/>
        </w:rPr>
      </w:pPr>
    </w:p>
    <w:p w14:paraId="6E33DD30" w14:textId="56B959AC" w:rsidR="00C944EF" w:rsidRDefault="00C944EF" w:rsidP="00C944EF">
      <w:pPr>
        <w:jc w:val="both"/>
        <w:rPr>
          <w:rFonts w:ascii="Times New Roman" w:hAnsi="Times New Roman" w:cs="Times New Roman"/>
          <w:b/>
          <w:bCs/>
          <w:sz w:val="24"/>
          <w:szCs w:val="24"/>
        </w:rPr>
      </w:pPr>
    </w:p>
    <w:p w14:paraId="1FB1F03B" w14:textId="0859CB9F" w:rsidR="00C944EF" w:rsidRDefault="00C944EF" w:rsidP="00C944EF">
      <w:pPr>
        <w:jc w:val="both"/>
        <w:rPr>
          <w:rFonts w:ascii="Times New Roman" w:hAnsi="Times New Roman" w:cs="Times New Roman"/>
          <w:b/>
          <w:bCs/>
          <w:sz w:val="24"/>
          <w:szCs w:val="24"/>
        </w:rPr>
      </w:pPr>
    </w:p>
    <w:p w14:paraId="77E55179" w14:textId="3373906F" w:rsidR="00C944EF" w:rsidRDefault="00C944EF" w:rsidP="00C944EF">
      <w:pPr>
        <w:jc w:val="both"/>
        <w:rPr>
          <w:rFonts w:ascii="Times New Roman" w:hAnsi="Times New Roman" w:cs="Times New Roman"/>
          <w:b/>
          <w:bCs/>
          <w:sz w:val="24"/>
          <w:szCs w:val="24"/>
        </w:rPr>
      </w:pPr>
    </w:p>
    <w:p w14:paraId="7378C75D" w14:textId="7B854134" w:rsidR="00C944EF" w:rsidRDefault="00C944EF" w:rsidP="00C944EF">
      <w:pPr>
        <w:jc w:val="both"/>
        <w:rPr>
          <w:rFonts w:ascii="Times New Roman" w:hAnsi="Times New Roman" w:cs="Times New Roman"/>
          <w:b/>
          <w:bCs/>
          <w:sz w:val="24"/>
          <w:szCs w:val="24"/>
        </w:rPr>
      </w:pPr>
    </w:p>
    <w:p w14:paraId="160B6A8A" w14:textId="77777777" w:rsidR="00C944EF" w:rsidRDefault="00C944EF" w:rsidP="00C944EF">
      <w:pPr>
        <w:jc w:val="both"/>
        <w:rPr>
          <w:rFonts w:ascii="Times New Roman" w:hAnsi="Times New Roman" w:cs="Times New Roman"/>
          <w:b/>
          <w:bCs/>
          <w:sz w:val="24"/>
          <w:szCs w:val="24"/>
        </w:rPr>
      </w:pPr>
    </w:p>
    <w:p w14:paraId="0EF850A6" w14:textId="7908C87C" w:rsidR="00C944EF" w:rsidRPr="00C944EF" w:rsidRDefault="00C944EF" w:rsidP="00C944EF">
      <w:pPr>
        <w:jc w:val="center"/>
        <w:rPr>
          <w:rFonts w:ascii="Times New Roman" w:hAnsi="Times New Roman" w:cs="Times New Roman"/>
          <w:b/>
          <w:bCs/>
          <w:sz w:val="28"/>
          <w:szCs w:val="28"/>
        </w:rPr>
      </w:pPr>
      <w:r w:rsidRPr="00C944EF">
        <w:rPr>
          <w:rFonts w:ascii="Times New Roman" w:hAnsi="Times New Roman" w:cs="Times New Roman"/>
          <w:b/>
          <w:bCs/>
          <w:sz w:val="28"/>
          <w:szCs w:val="28"/>
        </w:rPr>
        <w:lastRenderedPageBreak/>
        <w:t>CHAPTER ONE: INTRODUCTION</w:t>
      </w:r>
    </w:p>
    <w:p w14:paraId="7A690787" w14:textId="61BECC0C" w:rsidR="00C944EF" w:rsidRPr="00C944EF" w:rsidRDefault="00C944EF" w:rsidP="00C944EF">
      <w:pPr>
        <w:jc w:val="center"/>
        <w:rPr>
          <w:rFonts w:ascii="Times New Roman" w:hAnsi="Times New Roman" w:cs="Times New Roman"/>
          <w:b/>
          <w:bCs/>
          <w:sz w:val="28"/>
          <w:szCs w:val="28"/>
        </w:rPr>
      </w:pPr>
      <w:r w:rsidRPr="00C944EF">
        <w:rPr>
          <w:rFonts w:ascii="Times New Roman" w:hAnsi="Times New Roman" w:cs="Times New Roman"/>
          <w:b/>
          <w:bCs/>
          <w:sz w:val="28"/>
          <w:szCs w:val="28"/>
        </w:rPr>
        <w:t>BACKGROUND AND CONTEXT</w:t>
      </w:r>
    </w:p>
    <w:p w14:paraId="3C24F1E1" w14:textId="77777777" w:rsidR="00C944EF" w:rsidRPr="00C944EF" w:rsidRDefault="00C944EF" w:rsidP="00C944EF">
      <w:pPr>
        <w:jc w:val="center"/>
        <w:rPr>
          <w:rFonts w:ascii="Times New Roman" w:hAnsi="Times New Roman" w:cs="Times New Roman"/>
          <w:b/>
          <w:bCs/>
          <w:sz w:val="28"/>
          <w:szCs w:val="28"/>
        </w:rPr>
      </w:pPr>
    </w:p>
    <w:p w14:paraId="2A52BB4F"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Corporate Social Responsibility has evolved from voluntary philanthropic gestures to becoming a strategic imperative that fundamentally shapes organisational performance in contemporary business environments. Within the Nigerian telecommunications industry, which contributed 16.26% to the nation's GDP in the second quarter of 2024, CSR has emerged as a critical policy domain through which firms navigate complex institutional environments, build stakeholder legitimacy, and create sustainable competitive advantages. This transformation reflects broader shifts in how African corporations engage with societal development challenges amidst institutional voids, regulatory pressures, and heightened stakeholder expectations.</w:t>
      </w:r>
    </w:p>
    <w:p w14:paraId="42E8838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Nigeria Communications Plc represents an ideal subject for examining the strategic significance of CSR in emerging markets. As the leading telecommunications operator in Nigeria with over 74 million subscribers and 42.1% market share, MTN Nigeria operates within a dynamic and contested industry characterised by intense competition, stringent regulatory oversight, and diverse stakeholder demands. The company's CSR activities, channelled through the MTN Foundation since 2004, have invested N31.9 billion cumulatively, with N3.5 billion allocated in 2024 alone, impacting over 663,300 lives through initiatives spanning education, healthcare, economic empowerment, and environmental sustainability.</w:t>
      </w:r>
    </w:p>
    <w:p w14:paraId="6D0A332C"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Research Objectives</w:t>
      </w:r>
    </w:p>
    <w:p w14:paraId="3B59FF1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This research critically evaluates how CSR functions as a strategic policy instrument in shaping MTN Nigeria's organisational performance. The specific objectives guiding this analysis include:</w:t>
      </w:r>
    </w:p>
    <w:p w14:paraId="069CFD8A" w14:textId="77777777" w:rsidR="00C944EF" w:rsidRPr="00C944EF" w:rsidRDefault="00C944EF" w:rsidP="00C944EF">
      <w:pPr>
        <w:numPr>
          <w:ilvl w:val="0"/>
          <w:numId w:val="1"/>
        </w:numPr>
        <w:jc w:val="both"/>
        <w:rPr>
          <w:rFonts w:ascii="Times New Roman" w:hAnsi="Times New Roman" w:cs="Times New Roman"/>
          <w:sz w:val="24"/>
          <w:szCs w:val="24"/>
        </w:rPr>
      </w:pPr>
      <w:r w:rsidRPr="00C944EF">
        <w:rPr>
          <w:rFonts w:ascii="Times New Roman" w:hAnsi="Times New Roman" w:cs="Times New Roman"/>
          <w:sz w:val="24"/>
          <w:szCs w:val="24"/>
        </w:rPr>
        <w:t>To examine the theoretical foundations underpinning MTN Nigeria's CSR strategy and its alignment with strategic business objectives</w:t>
      </w:r>
    </w:p>
    <w:p w14:paraId="4FB7503A" w14:textId="77777777" w:rsidR="00C944EF" w:rsidRPr="00C944EF" w:rsidRDefault="00C944EF" w:rsidP="00C944EF">
      <w:pPr>
        <w:numPr>
          <w:ilvl w:val="0"/>
          <w:numId w:val="1"/>
        </w:numPr>
        <w:jc w:val="both"/>
        <w:rPr>
          <w:rFonts w:ascii="Times New Roman" w:hAnsi="Times New Roman" w:cs="Times New Roman"/>
          <w:sz w:val="24"/>
          <w:szCs w:val="24"/>
        </w:rPr>
      </w:pPr>
      <w:r w:rsidRPr="00C944EF">
        <w:rPr>
          <w:rFonts w:ascii="Times New Roman" w:hAnsi="Times New Roman" w:cs="Times New Roman"/>
          <w:sz w:val="24"/>
          <w:szCs w:val="24"/>
        </w:rPr>
        <w:t>To analyse the internal and external environmental factors influencing CSR policy formulation and implementation</w:t>
      </w:r>
    </w:p>
    <w:p w14:paraId="468DAAA5" w14:textId="77777777" w:rsidR="00C944EF" w:rsidRPr="00C944EF" w:rsidRDefault="00C944EF" w:rsidP="00C944EF">
      <w:pPr>
        <w:numPr>
          <w:ilvl w:val="0"/>
          <w:numId w:val="1"/>
        </w:numPr>
        <w:jc w:val="both"/>
        <w:rPr>
          <w:rFonts w:ascii="Times New Roman" w:hAnsi="Times New Roman" w:cs="Times New Roman"/>
          <w:sz w:val="24"/>
          <w:szCs w:val="24"/>
        </w:rPr>
      </w:pPr>
      <w:r w:rsidRPr="00C944EF">
        <w:rPr>
          <w:rFonts w:ascii="Times New Roman" w:hAnsi="Times New Roman" w:cs="Times New Roman"/>
          <w:sz w:val="24"/>
          <w:szCs w:val="24"/>
        </w:rPr>
        <w:t>To assess the strategic application of CSR initiatives and their contribution to competitive positioning, stakeholder relations, and operational sustainability</w:t>
      </w:r>
    </w:p>
    <w:p w14:paraId="43D85328" w14:textId="77777777" w:rsidR="00C944EF" w:rsidRPr="00C944EF" w:rsidRDefault="00C944EF" w:rsidP="00C944EF">
      <w:pPr>
        <w:numPr>
          <w:ilvl w:val="0"/>
          <w:numId w:val="1"/>
        </w:numPr>
        <w:jc w:val="both"/>
        <w:rPr>
          <w:rFonts w:ascii="Times New Roman" w:hAnsi="Times New Roman" w:cs="Times New Roman"/>
          <w:sz w:val="24"/>
          <w:szCs w:val="24"/>
        </w:rPr>
      </w:pPr>
      <w:r w:rsidRPr="00C944EF">
        <w:rPr>
          <w:rFonts w:ascii="Times New Roman" w:hAnsi="Times New Roman" w:cs="Times New Roman"/>
          <w:sz w:val="24"/>
          <w:szCs w:val="24"/>
        </w:rPr>
        <w:t>To evaluate the performance outcomes and strategic implications of MTN Nigeria's CSR investments for long-term value creation</w:t>
      </w:r>
    </w:p>
    <w:p w14:paraId="5CFB0FDA"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Significance of the Study</w:t>
      </w:r>
    </w:p>
    <w:p w14:paraId="269C14B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The significance of examining CSR within MTN Nigeria's strategic context extends beyond academic inquiry. First, the telecommunications sector serves as a critical enabler of economic activities across Nigeria, with operators creating over 500,000 direct and indirect employment opportunities. Understanding how CSR contributes to sector sustainability offers valuable insights for policy formulation and regulatory frameworks. Second, MTN Nigeria's positioning within a multinational corporate structure operating across diverse African markets provides </w:t>
      </w:r>
      <w:r w:rsidRPr="00C944EF">
        <w:rPr>
          <w:rFonts w:ascii="Times New Roman" w:hAnsi="Times New Roman" w:cs="Times New Roman"/>
          <w:sz w:val="24"/>
          <w:szCs w:val="24"/>
        </w:rPr>
        <w:lastRenderedPageBreak/>
        <w:t>lessons on how global CSR frameworks adapt to local institutional contexts. Third, given Nigeria's developmental challenges including poverty, inadequate infrastructure, and service delivery gaps, corporate contributions through strategic CSR initiatives represent essential supplements to governmental efforts.</w:t>
      </w:r>
    </w:p>
    <w:p w14:paraId="4CD43169"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Scope and Structure</w:t>
      </w:r>
    </w:p>
    <w:p w14:paraId="03785D1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This analysis focuses exclusively on MTN Nigeria Communications Plc, examining CSR activities implemented between 2020 and 2024. The study adopts a qualitative approach, utilising secondary data sources including sustainability reports, regulatory filings, academic literature, and industry analyses. The theoretical framework integrates Stakeholder Theory and Resource-Based View to provide comprehensive explanatory power for understanding the strategic dimensions of CSR. The subsequent chapters systematically address the theoretical foundations, environmental analysis, strategic application, and performance outcomes before concluding with strategic implications and recommendations.</w:t>
      </w:r>
    </w:p>
    <w:p w14:paraId="32F4E044" w14:textId="77777777" w:rsidR="00C944EF" w:rsidRDefault="00C944EF" w:rsidP="00C944EF">
      <w:pPr>
        <w:jc w:val="both"/>
        <w:rPr>
          <w:rFonts w:ascii="Times New Roman" w:hAnsi="Times New Roman" w:cs="Times New Roman"/>
          <w:sz w:val="24"/>
          <w:szCs w:val="24"/>
        </w:rPr>
      </w:pPr>
    </w:p>
    <w:p w14:paraId="47DFBC58" w14:textId="77777777" w:rsidR="00C944EF" w:rsidRDefault="00C944EF" w:rsidP="00C944EF">
      <w:pPr>
        <w:jc w:val="both"/>
        <w:rPr>
          <w:rFonts w:ascii="Times New Roman" w:hAnsi="Times New Roman" w:cs="Times New Roman"/>
          <w:sz w:val="24"/>
          <w:szCs w:val="24"/>
        </w:rPr>
      </w:pPr>
    </w:p>
    <w:p w14:paraId="2FFDC86D" w14:textId="77777777" w:rsidR="00C944EF" w:rsidRDefault="00C944EF" w:rsidP="00C944EF">
      <w:pPr>
        <w:jc w:val="both"/>
        <w:rPr>
          <w:rFonts w:ascii="Times New Roman" w:hAnsi="Times New Roman" w:cs="Times New Roman"/>
          <w:sz w:val="24"/>
          <w:szCs w:val="24"/>
        </w:rPr>
      </w:pPr>
    </w:p>
    <w:p w14:paraId="0B20466F" w14:textId="77777777" w:rsidR="00C944EF" w:rsidRDefault="00C944EF" w:rsidP="00C944EF">
      <w:pPr>
        <w:jc w:val="both"/>
        <w:rPr>
          <w:rFonts w:ascii="Times New Roman" w:hAnsi="Times New Roman" w:cs="Times New Roman"/>
          <w:sz w:val="24"/>
          <w:szCs w:val="24"/>
        </w:rPr>
      </w:pPr>
    </w:p>
    <w:p w14:paraId="1A6D9606" w14:textId="77777777" w:rsidR="00C944EF" w:rsidRDefault="00C944EF" w:rsidP="00C944EF">
      <w:pPr>
        <w:jc w:val="both"/>
        <w:rPr>
          <w:rFonts w:ascii="Times New Roman" w:hAnsi="Times New Roman" w:cs="Times New Roman"/>
          <w:sz w:val="24"/>
          <w:szCs w:val="24"/>
        </w:rPr>
      </w:pPr>
    </w:p>
    <w:p w14:paraId="09E5280C" w14:textId="77777777" w:rsidR="00C944EF" w:rsidRDefault="00C944EF" w:rsidP="00C944EF">
      <w:pPr>
        <w:jc w:val="both"/>
        <w:rPr>
          <w:rFonts w:ascii="Times New Roman" w:hAnsi="Times New Roman" w:cs="Times New Roman"/>
          <w:sz w:val="24"/>
          <w:szCs w:val="24"/>
        </w:rPr>
      </w:pPr>
    </w:p>
    <w:p w14:paraId="6043FF7C" w14:textId="77777777" w:rsidR="00C944EF" w:rsidRDefault="00C944EF" w:rsidP="00C944EF">
      <w:pPr>
        <w:jc w:val="both"/>
        <w:rPr>
          <w:rFonts w:ascii="Times New Roman" w:hAnsi="Times New Roman" w:cs="Times New Roman"/>
          <w:sz w:val="24"/>
          <w:szCs w:val="24"/>
        </w:rPr>
      </w:pPr>
    </w:p>
    <w:p w14:paraId="2A8B3804" w14:textId="77777777" w:rsidR="00C944EF" w:rsidRDefault="00C944EF" w:rsidP="00C944EF">
      <w:pPr>
        <w:jc w:val="both"/>
        <w:rPr>
          <w:rFonts w:ascii="Times New Roman" w:hAnsi="Times New Roman" w:cs="Times New Roman"/>
          <w:sz w:val="24"/>
          <w:szCs w:val="24"/>
        </w:rPr>
      </w:pPr>
    </w:p>
    <w:p w14:paraId="6443DE78" w14:textId="77777777" w:rsidR="00C944EF" w:rsidRDefault="00C944EF" w:rsidP="00C944EF">
      <w:pPr>
        <w:jc w:val="both"/>
        <w:rPr>
          <w:rFonts w:ascii="Times New Roman" w:hAnsi="Times New Roman" w:cs="Times New Roman"/>
          <w:sz w:val="24"/>
          <w:szCs w:val="24"/>
        </w:rPr>
      </w:pPr>
    </w:p>
    <w:p w14:paraId="035CB21D" w14:textId="77777777" w:rsidR="00C944EF" w:rsidRDefault="00C944EF" w:rsidP="00C944EF">
      <w:pPr>
        <w:jc w:val="both"/>
        <w:rPr>
          <w:rFonts w:ascii="Times New Roman" w:hAnsi="Times New Roman" w:cs="Times New Roman"/>
          <w:sz w:val="24"/>
          <w:szCs w:val="24"/>
        </w:rPr>
      </w:pPr>
    </w:p>
    <w:p w14:paraId="5B6BC96A" w14:textId="77777777" w:rsidR="00C944EF" w:rsidRDefault="00C944EF" w:rsidP="00C944EF">
      <w:pPr>
        <w:jc w:val="both"/>
        <w:rPr>
          <w:rFonts w:ascii="Times New Roman" w:hAnsi="Times New Roman" w:cs="Times New Roman"/>
          <w:sz w:val="24"/>
          <w:szCs w:val="24"/>
        </w:rPr>
      </w:pPr>
    </w:p>
    <w:p w14:paraId="0A168968" w14:textId="77777777" w:rsidR="00C944EF" w:rsidRDefault="00C944EF" w:rsidP="00C944EF">
      <w:pPr>
        <w:jc w:val="both"/>
        <w:rPr>
          <w:rFonts w:ascii="Times New Roman" w:hAnsi="Times New Roman" w:cs="Times New Roman"/>
          <w:sz w:val="24"/>
          <w:szCs w:val="24"/>
        </w:rPr>
      </w:pPr>
    </w:p>
    <w:p w14:paraId="6AF8E371" w14:textId="77777777" w:rsidR="00C944EF" w:rsidRDefault="00C944EF" w:rsidP="00C944EF">
      <w:pPr>
        <w:jc w:val="both"/>
        <w:rPr>
          <w:rFonts w:ascii="Times New Roman" w:hAnsi="Times New Roman" w:cs="Times New Roman"/>
          <w:sz w:val="24"/>
          <w:szCs w:val="24"/>
        </w:rPr>
      </w:pPr>
    </w:p>
    <w:p w14:paraId="7F076DA7" w14:textId="77777777" w:rsidR="00C944EF" w:rsidRDefault="00C944EF" w:rsidP="00C944EF">
      <w:pPr>
        <w:jc w:val="both"/>
        <w:rPr>
          <w:rFonts w:ascii="Times New Roman" w:hAnsi="Times New Roman" w:cs="Times New Roman"/>
          <w:sz w:val="24"/>
          <w:szCs w:val="24"/>
        </w:rPr>
      </w:pPr>
    </w:p>
    <w:p w14:paraId="267DF337" w14:textId="77777777" w:rsidR="00C944EF" w:rsidRDefault="00C944EF" w:rsidP="00C944EF">
      <w:pPr>
        <w:jc w:val="both"/>
        <w:rPr>
          <w:rFonts w:ascii="Times New Roman" w:hAnsi="Times New Roman" w:cs="Times New Roman"/>
          <w:sz w:val="24"/>
          <w:szCs w:val="24"/>
        </w:rPr>
      </w:pPr>
    </w:p>
    <w:p w14:paraId="10FE4457" w14:textId="77777777" w:rsidR="00C944EF" w:rsidRDefault="00C944EF" w:rsidP="00C944EF">
      <w:pPr>
        <w:jc w:val="both"/>
        <w:rPr>
          <w:rFonts w:ascii="Times New Roman" w:hAnsi="Times New Roman" w:cs="Times New Roman"/>
          <w:sz w:val="24"/>
          <w:szCs w:val="24"/>
        </w:rPr>
      </w:pPr>
    </w:p>
    <w:p w14:paraId="14264396" w14:textId="77777777" w:rsidR="00C944EF" w:rsidRDefault="00C944EF" w:rsidP="00C944EF">
      <w:pPr>
        <w:jc w:val="both"/>
        <w:rPr>
          <w:rFonts w:ascii="Times New Roman" w:hAnsi="Times New Roman" w:cs="Times New Roman"/>
          <w:sz w:val="24"/>
          <w:szCs w:val="24"/>
        </w:rPr>
      </w:pPr>
    </w:p>
    <w:p w14:paraId="3D121C50" w14:textId="77777777" w:rsidR="00C944EF" w:rsidRDefault="00C944EF" w:rsidP="00C944EF">
      <w:pPr>
        <w:jc w:val="both"/>
        <w:rPr>
          <w:rFonts w:ascii="Times New Roman" w:hAnsi="Times New Roman" w:cs="Times New Roman"/>
          <w:sz w:val="24"/>
          <w:szCs w:val="24"/>
        </w:rPr>
      </w:pPr>
    </w:p>
    <w:p w14:paraId="557630C6" w14:textId="77777777" w:rsidR="00C944EF" w:rsidRDefault="00C944EF" w:rsidP="00C944EF">
      <w:pPr>
        <w:jc w:val="both"/>
        <w:rPr>
          <w:rFonts w:ascii="Times New Roman" w:hAnsi="Times New Roman" w:cs="Times New Roman"/>
          <w:sz w:val="24"/>
          <w:szCs w:val="24"/>
        </w:rPr>
      </w:pPr>
    </w:p>
    <w:p w14:paraId="77AFB48B" w14:textId="77777777" w:rsidR="00C944EF" w:rsidRDefault="00C944EF" w:rsidP="00C944EF">
      <w:pPr>
        <w:jc w:val="both"/>
        <w:rPr>
          <w:rFonts w:ascii="Times New Roman" w:hAnsi="Times New Roman" w:cs="Times New Roman"/>
          <w:sz w:val="24"/>
          <w:szCs w:val="24"/>
        </w:rPr>
      </w:pPr>
    </w:p>
    <w:p w14:paraId="74F6687C" w14:textId="77777777" w:rsidR="00C944EF" w:rsidRDefault="00C944EF" w:rsidP="00C944EF">
      <w:pPr>
        <w:jc w:val="both"/>
        <w:rPr>
          <w:rFonts w:ascii="Times New Roman" w:hAnsi="Times New Roman" w:cs="Times New Roman"/>
          <w:sz w:val="24"/>
          <w:szCs w:val="24"/>
        </w:rPr>
      </w:pPr>
    </w:p>
    <w:p w14:paraId="2EB7A35F" w14:textId="346738CC"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lastRenderedPageBreak/>
        <w:t>CHAPTER TWO: THEORETICAL AND CONCEPTUAL FRAMEWORK</w:t>
      </w:r>
    </w:p>
    <w:p w14:paraId="56034A81" w14:textId="09C0FB0B" w:rsidR="00C944EF" w:rsidRDefault="00C944EF" w:rsidP="00C944EF">
      <w:pPr>
        <w:jc w:val="center"/>
        <w:rPr>
          <w:rFonts w:ascii="Times New Roman" w:hAnsi="Times New Roman" w:cs="Times New Roman"/>
          <w:b/>
          <w:bCs/>
          <w:sz w:val="28"/>
          <w:szCs w:val="28"/>
        </w:rPr>
      </w:pPr>
      <w:r w:rsidRPr="00C944EF">
        <w:rPr>
          <w:rFonts w:ascii="Times New Roman" w:hAnsi="Times New Roman" w:cs="Times New Roman"/>
          <w:b/>
          <w:bCs/>
          <w:sz w:val="24"/>
          <w:szCs w:val="24"/>
        </w:rPr>
        <w:t>STAKEHOLDER THEORY AND CSR</w:t>
      </w:r>
    </w:p>
    <w:p w14:paraId="5F295504" w14:textId="77777777" w:rsidR="00C944EF" w:rsidRPr="00C944EF" w:rsidRDefault="00C944EF" w:rsidP="00C944EF">
      <w:pPr>
        <w:jc w:val="center"/>
        <w:rPr>
          <w:rFonts w:ascii="Times New Roman" w:hAnsi="Times New Roman" w:cs="Times New Roman"/>
          <w:b/>
          <w:bCs/>
          <w:sz w:val="28"/>
          <w:szCs w:val="28"/>
        </w:rPr>
      </w:pPr>
    </w:p>
    <w:p w14:paraId="574E0C4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Stakeholder Theory, pioneered by R. Edward Freeman, provides the foundational lens for understanding MTN Nigeria's CSR orientation. This theory posits that organisations create value not solely for shareholders but for a broader constellation of stakeholders including employees, customers, suppliers, host communities, regulatory authorities, and society at large. Unlike the neoclassical shareholder primacy perspective, Stakeholder Theory recognises that sustainable competitive advantage emerges from building mutually beneficial relationships with diverse stakeholder groups whose support remains essential for organisational survival and success.</w:t>
      </w:r>
    </w:p>
    <w:p w14:paraId="683A02B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Within the Nigerian telecommunications context, Stakeholder Theory offers particularly robust explanatory power. The sector operates within a complex web of relationships where regulatory legitimacy, community acceptance, consumer trust, and governmental support constitute non-negotiable prerequisites for operational continuity. MTN Nigeria's historical experience with regulatory challenges, including the notable N1.04 trillion fine imposed in 2015 for SIM registration infractions subsequently negotiated to N330 billion, underscores the materiality of stakeholder relationships. The company's subsequent commitment to CSR intensification, coupled with mandatory listing on the Nigerian Stock Exchange as part of settlement terms, demonstrates how stakeholder pressures directly shape corporate policy responses.</w:t>
      </w:r>
    </w:p>
    <w:p w14:paraId="148626A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Stakeholder Theory posits that CSR initiatives function as strategic mechanisms for identifying, prioritising, and responding to stakeholder expectations. Effective stakeholder engagement enables organisations to anticipate social and environmental issues, mitigate operational risks, and identify innovation opportunities. For MTN Nigeria, stakeholder engagement manifests through community consultations informing project selection, partnerships with non-governmental organisations and local governments for programme implementation, and transparent reporting mechanisms including dedicated feedback channels and grievance systems. The company's "What Can We Do Together" initiative, launched in September 2015, exemplifies stakeholder-centric approaches by empowering Nigerians to identify and propose development projects addressing local needs, thereby ensuring relevance and fostering ownership.</w:t>
      </w:r>
    </w:p>
    <w:p w14:paraId="7985B32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Critically, Stakeholder Theory suggests that the strength and quality of stakeholder relationships directly influence organisational performance outcomes. Research demonstrates positive associations between robust CSR initiatives and enhanced stakeholder loyalty, brand reputation, and operational performance. For telecommunications operators, customer trust and community goodwill translate into subscriber retention, market share protection, and reduced operational disruptions. However, Stakeholder Theory also acknowledges inherent tensions among diverse stakeholder interests, necessitating strategic prioritisation and trade-offs. MTN Nigeria's challenge lies in balancing profit maximisation for shareholders with social investments benefiting communities, regulatory compliance satisfying governmental authorities, and pricing strategies meeting consumer affordability expectations within inflationary economic contexts.</w:t>
      </w:r>
    </w:p>
    <w:p w14:paraId="6317F163" w14:textId="77777777" w:rsidR="00C944EF" w:rsidRDefault="00C944EF" w:rsidP="00C944EF">
      <w:pPr>
        <w:jc w:val="both"/>
        <w:rPr>
          <w:rFonts w:ascii="Times New Roman" w:hAnsi="Times New Roman" w:cs="Times New Roman"/>
          <w:b/>
          <w:bCs/>
          <w:sz w:val="24"/>
          <w:szCs w:val="24"/>
        </w:rPr>
      </w:pPr>
    </w:p>
    <w:p w14:paraId="1936BAE2" w14:textId="6EB2F96E"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lastRenderedPageBreak/>
        <w:t>Resource-Based View and Competitive Advantage</w:t>
      </w:r>
    </w:p>
    <w:p w14:paraId="63AC302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The Resource-Based View, developed by Barney, </w:t>
      </w:r>
      <w:proofErr w:type="spellStart"/>
      <w:r w:rsidRPr="00C944EF">
        <w:rPr>
          <w:rFonts w:ascii="Times New Roman" w:hAnsi="Times New Roman" w:cs="Times New Roman"/>
          <w:sz w:val="24"/>
          <w:szCs w:val="24"/>
        </w:rPr>
        <w:t>Wernerfelt</w:t>
      </w:r>
      <w:proofErr w:type="spellEnd"/>
      <w:r w:rsidRPr="00C944EF">
        <w:rPr>
          <w:rFonts w:ascii="Times New Roman" w:hAnsi="Times New Roman" w:cs="Times New Roman"/>
          <w:sz w:val="24"/>
          <w:szCs w:val="24"/>
        </w:rPr>
        <w:t>, and others, complements Stakeholder Theory by focusing on how organisations leverage internal resources and capabilities to achieve sustainable competitive advantage. RBV posits that firms possessing resources that are Valuable, Rare, Inimitable, and Non-substitutable gain superior performance relative to competitors. Within the CSR domain, RBV suggests that strategic social investments can generate intangible resources including enhanced brand equity, organisational culture aligned with societal values, stakeholder relationships characterised by trust and reciprocity, and reputational capital resilient to competitive pressures.</w:t>
      </w:r>
    </w:p>
    <w:p w14:paraId="5FC0A0B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For MTN Nigeria, CSR represents a strategic resource-building mechanism rather than mere philanthropic expenditure. The company's 79% Reputation Index score, significantly above the 75% benchmark, reflects accumulated reputational capital derived from consistent CSR investments. This reputational strength translates into tangible competitive advantages including customer preference, talent attraction and retention, regulatory goodwill, and social licence to operate. In highly competitive markets where product offerings exhibit substantial homogeneity, reputation and brand perception become critical differentiators influencing consumer choice. MTN's Yellow brand identity, reinforced through visible community interventions, creates psychological associations between the brand and positive social impact, enhancing customer loyalty and market positioning.</w:t>
      </w:r>
    </w:p>
    <w:p w14:paraId="7BE23DB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RBV framework also illuminates how CSR contributes to developing organisational capabilities difficult for competitors to replicate. MTN Foundation's operational infrastructure, including partnerships with over 100 stakeholder organisations, established project implementation frameworks, and accumulated expertise in community development, represents firm-specific capabilities built incrementally over two decades. These capabilities enable efficient identification of development needs, rapid project deployment, effective monitoring and evaluation, and sustained stakeholder engagement. Competitors seeking to match MTN's social impact would require substantial time and resource investments to develop equivalent capabilities, thereby creating barriers to imitation.</w:t>
      </w:r>
    </w:p>
    <w:p w14:paraId="31662F8F"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However, RBV also suggests that CSR investments must demonstrate strategic fit with core business operations to generate competitive advantage. Disconnected philanthropic activities, regardless of social merit, yield limited organisational benefits if they fail to reinforce core competencies or strategic positioning. MTN Nigeria's CSR focus areas of education, digital inclusion, youth empowerment, and healthcare align strategically with the telecommunications sector's role as enabler of digital transformation. Initiatives such as providing 93% network coverage, achieving 90.1% broadband penetration, and fostering financial inclusion through 2.8 million active </w:t>
      </w:r>
      <w:proofErr w:type="spellStart"/>
      <w:r w:rsidRPr="00C944EF">
        <w:rPr>
          <w:rFonts w:ascii="Times New Roman" w:hAnsi="Times New Roman" w:cs="Times New Roman"/>
          <w:sz w:val="24"/>
          <w:szCs w:val="24"/>
        </w:rPr>
        <w:t>MoMo</w:t>
      </w:r>
      <w:proofErr w:type="spellEnd"/>
      <w:r w:rsidRPr="00C944EF">
        <w:rPr>
          <w:rFonts w:ascii="Times New Roman" w:hAnsi="Times New Roman" w:cs="Times New Roman"/>
          <w:sz w:val="24"/>
          <w:szCs w:val="24"/>
        </w:rPr>
        <w:t xml:space="preserve"> wallet subscribers directly support business objectives while delivering social value. This alignment ensures that CSR investments simultaneously strengthen market position and address societal needs, exemplifying the "shared value" concept where business success and social progress reinforce rather than trade-off against each other.</w:t>
      </w:r>
    </w:p>
    <w:p w14:paraId="383B3C85"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Integration and Application</w:t>
      </w:r>
    </w:p>
    <w:p w14:paraId="538D7D4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The integration of Stakeholder Theory and Resource-Based View provides comprehensive analytical leverage for examining MTN Nigeria's CSR strategy. Stakeholder Theory explains why CSR matters strategically by identifying the external pressures, expectations, and </w:t>
      </w:r>
      <w:r w:rsidRPr="00C944EF">
        <w:rPr>
          <w:rFonts w:ascii="Times New Roman" w:hAnsi="Times New Roman" w:cs="Times New Roman"/>
          <w:sz w:val="24"/>
          <w:szCs w:val="24"/>
        </w:rPr>
        <w:lastRenderedPageBreak/>
        <w:t>opportunities that organisations must navigate. RBV explains how CSR creates competitive advantage by developing internal resources and capabilities that differentiate firms and sustain superior performance. Together, these theoretical lenses illuminate CSR not as peripheral corporate activity but as central strategic policy influencing organisational survival, legitimacy, and competitive positioning within institutional contexts characterised by complexity and dynamism.</w:t>
      </w:r>
    </w:p>
    <w:p w14:paraId="760CDBA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Nigerian telecommunications environment exemplifies such complexity. Operators confront regulatory uncertainties, including spectrum licensing costs exceeding $820.8 million paid by three operators for 5G spectrum, quality of service enforcement mechanisms imposing substantial penalties for non-compliance, and consumer protection frameworks increasingly empowering subscribers. Simultaneously, operators navigate infrastructure challenges including right-of-way permit delays, multiple taxation across federal and state jurisdictions, and security threats in conflict-affected regions disrupting network operations. Within this environment, CSR functions as strategic buffering mechanism, building stakeholder goodwill that provides resilience against regulatory actions, community resistance, and reputational crises.</w:t>
      </w:r>
    </w:p>
    <w:p w14:paraId="1535E7EE" w14:textId="77777777" w:rsidR="00C944EF" w:rsidRDefault="00C944EF" w:rsidP="00C944EF">
      <w:pPr>
        <w:jc w:val="both"/>
        <w:rPr>
          <w:rFonts w:ascii="Times New Roman" w:hAnsi="Times New Roman" w:cs="Times New Roman"/>
          <w:sz w:val="24"/>
          <w:szCs w:val="24"/>
        </w:rPr>
      </w:pPr>
    </w:p>
    <w:p w14:paraId="749C1A4C" w14:textId="77777777" w:rsidR="00C944EF" w:rsidRDefault="00C944EF" w:rsidP="00C944EF">
      <w:pPr>
        <w:jc w:val="both"/>
        <w:rPr>
          <w:rFonts w:ascii="Times New Roman" w:hAnsi="Times New Roman" w:cs="Times New Roman"/>
          <w:sz w:val="24"/>
          <w:szCs w:val="24"/>
        </w:rPr>
      </w:pPr>
    </w:p>
    <w:p w14:paraId="4482497C" w14:textId="77777777" w:rsidR="00C944EF" w:rsidRDefault="00C944EF" w:rsidP="00C944EF">
      <w:pPr>
        <w:jc w:val="both"/>
        <w:rPr>
          <w:rFonts w:ascii="Times New Roman" w:hAnsi="Times New Roman" w:cs="Times New Roman"/>
          <w:sz w:val="24"/>
          <w:szCs w:val="24"/>
        </w:rPr>
      </w:pPr>
    </w:p>
    <w:p w14:paraId="1309A706" w14:textId="77777777" w:rsidR="00C944EF" w:rsidRDefault="00C944EF" w:rsidP="00C944EF">
      <w:pPr>
        <w:jc w:val="both"/>
        <w:rPr>
          <w:rFonts w:ascii="Times New Roman" w:hAnsi="Times New Roman" w:cs="Times New Roman"/>
          <w:sz w:val="24"/>
          <w:szCs w:val="24"/>
        </w:rPr>
      </w:pPr>
    </w:p>
    <w:p w14:paraId="233AE9B5" w14:textId="77777777" w:rsidR="00C944EF" w:rsidRDefault="00C944EF" w:rsidP="00C944EF">
      <w:pPr>
        <w:jc w:val="both"/>
        <w:rPr>
          <w:rFonts w:ascii="Times New Roman" w:hAnsi="Times New Roman" w:cs="Times New Roman"/>
          <w:sz w:val="24"/>
          <w:szCs w:val="24"/>
        </w:rPr>
      </w:pPr>
    </w:p>
    <w:p w14:paraId="65890307" w14:textId="77777777" w:rsidR="00C944EF" w:rsidRDefault="00C944EF" w:rsidP="00C944EF">
      <w:pPr>
        <w:jc w:val="both"/>
        <w:rPr>
          <w:rFonts w:ascii="Times New Roman" w:hAnsi="Times New Roman" w:cs="Times New Roman"/>
          <w:sz w:val="24"/>
          <w:szCs w:val="24"/>
        </w:rPr>
      </w:pPr>
    </w:p>
    <w:p w14:paraId="1E890E15" w14:textId="77777777" w:rsidR="00C944EF" w:rsidRDefault="00C944EF" w:rsidP="00C944EF">
      <w:pPr>
        <w:jc w:val="both"/>
        <w:rPr>
          <w:rFonts w:ascii="Times New Roman" w:hAnsi="Times New Roman" w:cs="Times New Roman"/>
          <w:sz w:val="24"/>
          <w:szCs w:val="24"/>
        </w:rPr>
      </w:pPr>
    </w:p>
    <w:p w14:paraId="68420AB7" w14:textId="77777777" w:rsidR="00C944EF" w:rsidRDefault="00C944EF" w:rsidP="00C944EF">
      <w:pPr>
        <w:jc w:val="both"/>
        <w:rPr>
          <w:rFonts w:ascii="Times New Roman" w:hAnsi="Times New Roman" w:cs="Times New Roman"/>
          <w:sz w:val="24"/>
          <w:szCs w:val="24"/>
        </w:rPr>
      </w:pPr>
    </w:p>
    <w:p w14:paraId="09EC7A57" w14:textId="77777777" w:rsidR="00C944EF" w:rsidRDefault="00C944EF" w:rsidP="00C944EF">
      <w:pPr>
        <w:jc w:val="both"/>
        <w:rPr>
          <w:rFonts w:ascii="Times New Roman" w:hAnsi="Times New Roman" w:cs="Times New Roman"/>
          <w:sz w:val="24"/>
          <w:szCs w:val="24"/>
        </w:rPr>
      </w:pPr>
    </w:p>
    <w:p w14:paraId="2B3875AF" w14:textId="77777777" w:rsidR="00C944EF" w:rsidRDefault="00C944EF" w:rsidP="00C944EF">
      <w:pPr>
        <w:jc w:val="both"/>
        <w:rPr>
          <w:rFonts w:ascii="Times New Roman" w:hAnsi="Times New Roman" w:cs="Times New Roman"/>
          <w:sz w:val="24"/>
          <w:szCs w:val="24"/>
        </w:rPr>
      </w:pPr>
    </w:p>
    <w:p w14:paraId="2A9F5D2B" w14:textId="77777777" w:rsidR="00C944EF" w:rsidRDefault="00C944EF" w:rsidP="00C944EF">
      <w:pPr>
        <w:jc w:val="both"/>
        <w:rPr>
          <w:rFonts w:ascii="Times New Roman" w:hAnsi="Times New Roman" w:cs="Times New Roman"/>
          <w:sz w:val="24"/>
          <w:szCs w:val="24"/>
        </w:rPr>
      </w:pPr>
    </w:p>
    <w:p w14:paraId="4E6257AE" w14:textId="77777777" w:rsidR="00C944EF" w:rsidRDefault="00C944EF" w:rsidP="00C944EF">
      <w:pPr>
        <w:jc w:val="both"/>
        <w:rPr>
          <w:rFonts w:ascii="Times New Roman" w:hAnsi="Times New Roman" w:cs="Times New Roman"/>
          <w:sz w:val="24"/>
          <w:szCs w:val="24"/>
        </w:rPr>
      </w:pPr>
    </w:p>
    <w:p w14:paraId="4D2B73E5" w14:textId="77777777" w:rsidR="00C944EF" w:rsidRDefault="00C944EF" w:rsidP="00C944EF">
      <w:pPr>
        <w:jc w:val="both"/>
        <w:rPr>
          <w:rFonts w:ascii="Times New Roman" w:hAnsi="Times New Roman" w:cs="Times New Roman"/>
          <w:sz w:val="24"/>
          <w:szCs w:val="24"/>
        </w:rPr>
      </w:pPr>
    </w:p>
    <w:p w14:paraId="74D8E017" w14:textId="77777777" w:rsidR="00C944EF" w:rsidRDefault="00C944EF" w:rsidP="00C944EF">
      <w:pPr>
        <w:jc w:val="both"/>
        <w:rPr>
          <w:rFonts w:ascii="Times New Roman" w:hAnsi="Times New Roman" w:cs="Times New Roman"/>
          <w:sz w:val="24"/>
          <w:szCs w:val="24"/>
        </w:rPr>
      </w:pPr>
    </w:p>
    <w:p w14:paraId="5C704C8A" w14:textId="77777777" w:rsidR="00C944EF" w:rsidRDefault="00C944EF" w:rsidP="00C944EF">
      <w:pPr>
        <w:jc w:val="both"/>
        <w:rPr>
          <w:rFonts w:ascii="Times New Roman" w:hAnsi="Times New Roman" w:cs="Times New Roman"/>
          <w:sz w:val="24"/>
          <w:szCs w:val="24"/>
        </w:rPr>
      </w:pPr>
    </w:p>
    <w:p w14:paraId="23C295D3" w14:textId="77777777" w:rsidR="00C944EF" w:rsidRDefault="00C944EF" w:rsidP="00C944EF">
      <w:pPr>
        <w:jc w:val="both"/>
        <w:rPr>
          <w:rFonts w:ascii="Times New Roman" w:hAnsi="Times New Roman" w:cs="Times New Roman"/>
          <w:sz w:val="24"/>
          <w:szCs w:val="24"/>
        </w:rPr>
      </w:pPr>
    </w:p>
    <w:p w14:paraId="78EDFED1" w14:textId="77777777" w:rsidR="00C944EF" w:rsidRDefault="00C944EF" w:rsidP="00C944EF">
      <w:pPr>
        <w:jc w:val="both"/>
        <w:rPr>
          <w:rFonts w:ascii="Times New Roman" w:hAnsi="Times New Roman" w:cs="Times New Roman"/>
          <w:sz w:val="24"/>
          <w:szCs w:val="24"/>
        </w:rPr>
      </w:pPr>
    </w:p>
    <w:p w14:paraId="354757EE" w14:textId="77777777" w:rsidR="00C944EF" w:rsidRDefault="00C944EF" w:rsidP="00C944EF">
      <w:pPr>
        <w:jc w:val="both"/>
        <w:rPr>
          <w:rFonts w:ascii="Times New Roman" w:hAnsi="Times New Roman" w:cs="Times New Roman"/>
          <w:sz w:val="24"/>
          <w:szCs w:val="24"/>
        </w:rPr>
      </w:pPr>
    </w:p>
    <w:p w14:paraId="6DA33E7F" w14:textId="77777777" w:rsidR="00C944EF" w:rsidRDefault="00C944EF" w:rsidP="00C944EF">
      <w:pPr>
        <w:jc w:val="center"/>
        <w:rPr>
          <w:rFonts w:ascii="Times New Roman" w:hAnsi="Times New Roman" w:cs="Times New Roman"/>
          <w:sz w:val="24"/>
          <w:szCs w:val="24"/>
        </w:rPr>
      </w:pPr>
    </w:p>
    <w:p w14:paraId="22BCD28A" w14:textId="1E1D85D0"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lastRenderedPageBreak/>
        <w:t>CHAPTER THREE: POLICY ENVIRONMENT ANALYSIS</w:t>
      </w:r>
    </w:p>
    <w:p w14:paraId="40E5C3D0" w14:textId="0F822BF6"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t>INTERNAL ENVIRONMENTAL ANALYSIS</w:t>
      </w:r>
    </w:p>
    <w:p w14:paraId="484BE552" w14:textId="77777777" w:rsidR="00C944EF" w:rsidRPr="00C944EF" w:rsidRDefault="00C944EF" w:rsidP="00C944EF">
      <w:pPr>
        <w:jc w:val="center"/>
        <w:rPr>
          <w:rFonts w:ascii="Times New Roman" w:hAnsi="Times New Roman" w:cs="Times New Roman"/>
          <w:b/>
          <w:bCs/>
          <w:sz w:val="24"/>
          <w:szCs w:val="24"/>
        </w:rPr>
      </w:pPr>
    </w:p>
    <w:p w14:paraId="4995C792"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Nigeria's internal environment reflects organisational strengths, weaknesses, and capabilities shaping CSR policy formulation and implementation. Applying SWOT analysis reveals the strategic positioning that informs social responsibility approaches.</w:t>
      </w:r>
    </w:p>
    <w:p w14:paraId="1216110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Strengths: MTN Nigeria commands formidable market leadership with 42.1% subscriber market share, translating to substantial financial resources enabling significant CSR investments. The company reported swinging to post-tax profit of N414.9 billion in the first half of 2025, demonstrating financial resilience despite challenging operating conditions. This profitability supports the company's commitment to allocate up to 1% of Profit After Tax to CSR activities, ensuring sustainable funding for social programmes. Additionally, MTN possesses extensive telecommunications infrastructure including the 3,400-kilometre </w:t>
      </w:r>
      <w:proofErr w:type="spellStart"/>
      <w:r w:rsidRPr="00C944EF">
        <w:rPr>
          <w:rFonts w:ascii="Times New Roman" w:hAnsi="Times New Roman" w:cs="Times New Roman"/>
          <w:sz w:val="24"/>
          <w:szCs w:val="24"/>
        </w:rPr>
        <w:t>Y'elloBahn</w:t>
      </w:r>
      <w:proofErr w:type="spellEnd"/>
      <w:r w:rsidRPr="00C944EF">
        <w:rPr>
          <w:rFonts w:ascii="Times New Roman" w:hAnsi="Times New Roman" w:cs="Times New Roman"/>
          <w:sz w:val="24"/>
          <w:szCs w:val="24"/>
        </w:rPr>
        <w:t xml:space="preserve"> digital microwave transmission backbone and 194 solar-powered rural telephony sites, enabling technology-enabled development interventions.</w:t>
      </w:r>
    </w:p>
    <w:p w14:paraId="7398A72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company's brand equity represents another critical strength. Despite historical regulatory challenges, MTN maintains recognition as the leading telecommunications brand in Nigeria, achieving top position in Net Promoter Score rankings within the sector. This brand strength amplifies CSR impact by ensuring high visibility for initiatives and fostering stakeholder receptivity to corporate communications. Furthermore, MTN's workforce composition, with 41.4% female representation and commitment to reaching 50% by 2030, demonstrates internal diversity alignment supporting external CSR messaging on inclusivity and empowerment.</w:t>
      </w:r>
    </w:p>
    <w:p w14:paraId="4250E93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Weaknesses: Internal challenges include historical compliance failures exemplified by the 2015 SIM registration violation resulting in massive regulatory penalties. Such incidents damage corporate reputation and necessitate intensified CSR efforts to rebuild stakeholder trust. Operationally, MTN faces criticism regarding network quality and connectivity challenges, particularly in certain geographical regions. These service delivery gaps undermine corporate credibility and potentially diminish CSR effectiveness if stakeholders perceive social investments as compensatory measures for core business shortcomings rather than genuine developmental commitments.</w:t>
      </w:r>
    </w:p>
    <w:p w14:paraId="3510CF5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Cost management pressures represent another weakness affecting CSR sustainability. Rising operational costs driven by energy expenses, infrastructure maintenance, and regulatory fees squeeze profit margins, potentially threatening the sustainability of CSR funding commitments during economic downturns. The telecommunications sector faces what CEO Karl </w:t>
      </w:r>
      <w:proofErr w:type="spellStart"/>
      <w:r w:rsidRPr="00C944EF">
        <w:rPr>
          <w:rFonts w:ascii="Times New Roman" w:hAnsi="Times New Roman" w:cs="Times New Roman"/>
          <w:sz w:val="24"/>
          <w:szCs w:val="24"/>
        </w:rPr>
        <w:t>Toriola</w:t>
      </w:r>
      <w:proofErr w:type="spellEnd"/>
      <w:r w:rsidRPr="00C944EF">
        <w:rPr>
          <w:rFonts w:ascii="Times New Roman" w:hAnsi="Times New Roman" w:cs="Times New Roman"/>
          <w:sz w:val="24"/>
          <w:szCs w:val="24"/>
        </w:rPr>
        <w:t xml:space="preserve"> describes as "formidable challenges" including "rising operational costs and unsustainable pricing models" that could constrain future CSR investments if profitability deteriorates.</w:t>
      </w:r>
    </w:p>
    <w:p w14:paraId="60EFBC1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Opportunities: The digital transformation agenda sweeping across Nigeria creates substantial opportunities for CSR initiatives aligned with business strategy. Government commitments to expanding broadband access, digitising public services, and promoting digital skills development align directly with telecommunications operators' core competencies. MTN can leverage its infrastructure and expertise to support these national priorities through CSR programmes, thereby enhancing regulatory goodwill while expanding market opportunities.</w:t>
      </w:r>
    </w:p>
    <w:p w14:paraId="6810672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lastRenderedPageBreak/>
        <w:t>The youth demographic dividend presents another opportunity. Nigeria's population structure, with significant concentration among youth cohorts, creates demand for education, skills development, and employment opportunities. MTN Foundation's focus on youth empowerment through scholarship programmes, vocational training, and entrepreneurship support addresses critical national needs while building long-term customer relationships with future economic decision-makers.</w:t>
      </w:r>
    </w:p>
    <w:p w14:paraId="5851E2A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Threats: Regulatory uncertainties pose persistent threats to operational stability and strategic planning. The telecommunications sector faces evolving regulatory frameworks addressing quality of service standards, consumer protection requirements, competition policy enforcement, and data protection obligations. The Nigerian Communications Commission's authority to impose substantial penalties for regulatory infractions creates ongoing compliance risks requiring vigilant monitoring and engagement.</w:t>
      </w:r>
    </w:p>
    <w:p w14:paraId="58706C2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Competitive intensity represents another threat. The entry of new technologies including satellite broadband services such as </w:t>
      </w:r>
      <w:proofErr w:type="spellStart"/>
      <w:r w:rsidRPr="00C944EF">
        <w:rPr>
          <w:rFonts w:ascii="Times New Roman" w:hAnsi="Times New Roman" w:cs="Times New Roman"/>
          <w:sz w:val="24"/>
          <w:szCs w:val="24"/>
        </w:rPr>
        <w:t>Starlink</w:t>
      </w:r>
      <w:proofErr w:type="spellEnd"/>
      <w:r w:rsidRPr="00C944EF">
        <w:rPr>
          <w:rFonts w:ascii="Times New Roman" w:hAnsi="Times New Roman" w:cs="Times New Roman"/>
          <w:sz w:val="24"/>
          <w:szCs w:val="24"/>
        </w:rPr>
        <w:t xml:space="preserve"> introduces competition from non-traditional players, potentially disrupting established market dynamics. Maintaining competitive positioning requires continuous innovation and customer retention strategies, placing pressure on financial resources that might otherwise support CSR investments.</w:t>
      </w:r>
    </w:p>
    <w:p w14:paraId="6BF1949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Macroeconomic instability including currency devaluation, inflation, and purchasing power erosion affects both business operations and CSR programme effectiveness. The devaluation of the Naira impacts local earnings and increases costs of imported equipment and services. Inflation reduces the real value of social investments and constrains community beneficiaries' ability to maximise programme benefits.</w:t>
      </w:r>
    </w:p>
    <w:p w14:paraId="2DDF4EB0"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External Environmental Analysis</w:t>
      </w:r>
    </w:p>
    <w:p w14:paraId="6ADA6EF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Porter's Five Forces framework provides structured analysis of the competitive dynamics shaping strategic responses including CSR positioning.</w:t>
      </w:r>
    </w:p>
    <w:p w14:paraId="58DF8F9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Competitive Rivalry: The Nigerian telecommunications sector exhibits intense rivalry among four major operators: MTN, </w:t>
      </w:r>
      <w:proofErr w:type="spellStart"/>
      <w:r w:rsidRPr="00C944EF">
        <w:rPr>
          <w:rFonts w:ascii="Times New Roman" w:hAnsi="Times New Roman" w:cs="Times New Roman"/>
          <w:sz w:val="24"/>
          <w:szCs w:val="24"/>
        </w:rPr>
        <w:t>Globacom</w:t>
      </w:r>
      <w:proofErr w:type="spellEnd"/>
      <w:r w:rsidRPr="00C944EF">
        <w:rPr>
          <w:rFonts w:ascii="Times New Roman" w:hAnsi="Times New Roman" w:cs="Times New Roman"/>
          <w:sz w:val="24"/>
          <w:szCs w:val="24"/>
        </w:rPr>
        <w:t>, Airtel, and 9mobile. Research indicates that competitive rivalry exerts high impact on industry competitiveness, driving operators to differentiate beyond price competition. With product offerings exhibiting substantial homogeneity, CSR emerges as strategic differentiator enabling operators to build brand preference and customer loyalty. MTN's leadership in CSR investments creates competitive barriers by establishing first-mover advantages in community relationships and brand associations with social development.</w:t>
      </w:r>
    </w:p>
    <w:p w14:paraId="13952F0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Buyer Bargaining Power: Customers wield moderate to high bargaining power driven by low switching costs, Mobile Number Portability enabling seamless network changes, and increasing digital literacy enhancing price and service quality comparisons. Studies confirm that buyer bargaining power significantly influences competitive advantage, necessitating strategies satisfying customer needs and retaining patronage. CSR initiatives addressing consumer concerns, including affordable pricing through various data plans, quality network expansion, and transparent customer service, function as retention mechanisms reducing churn rates in highly competitive markets.</w:t>
      </w:r>
    </w:p>
    <w:p w14:paraId="5D3949A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lastRenderedPageBreak/>
        <w:t>Supplier Bargaining Power: Suppliers demonstrate weak influence on telecommunications competitiveness, with operators enjoying substantial negotiating leverage over equipment vendors and service providers. MTN Nigeria's procurement strategy directing 59.6% of spending toward local suppliers demonstrates supply chain localisation reducing dependence on international vendors while supporting economic development objectives aligned with CSR principles.</w:t>
      </w:r>
    </w:p>
    <w:p w14:paraId="79CC458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Threat of New Entrants: Entry barriers remain moderately high given substantial capital requirements for infrastructure development, spectrum licensing costs, and regulatory compliance burdens. However, technological convergence enables new entry modes including satellite-based services and Over-The-Top (OTT) platforms reducing traditional infrastructure requirements. Established operators' reputational capital and stakeholder relationships, reinforced through sustained CSR investments, create intangible barriers complicating new entrants' efforts to gain market acceptance and regulatory support.</w:t>
      </w:r>
    </w:p>
    <w:p w14:paraId="2C94BB3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Threat of Substitutes: Telecommunications services face substitution threats from evolving communication technologies and platforms. However, the essential nature of connectivity services limits substitution possibilities, particularly as digital transformation deepens across economic and social activities. CSR initiatives expanding digital access and literacy increase market size and customer engagement, reducing vulnerability to substitute services.</w:t>
      </w:r>
    </w:p>
    <w:p w14:paraId="60DEFF06"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PESTLE Analysis</w:t>
      </w:r>
    </w:p>
    <w:p w14:paraId="65EA8569"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Political Factors: Nigeria's political environment significantly influences telecommunications operations. Government policies regarding spectrum allocation, licensing frameworks, taxation regimes, and local content requirements directly affect operational costs and strategic options. Political stability varies across regions, with security challenges in certain states disrupting network operations and limiting service expansion. CSR investments in conflict-affected communities can build local goodwill providing protective buffer against security threats while demonstrating corporate responsibility beyond profit extraction.</w:t>
      </w:r>
    </w:p>
    <w:p w14:paraId="710CED20"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Economic Factors: Nigeria's macroeconomic conditions including GDP growth rates, inflation levels, exchange rate stability, and disposable income distribution shape telecommunications demand and affordability. The sector's 11.18% contribution to real GDP in Q2 2025 underscores economic significance but also creates policy expectations regarding contributions to national development. Economic pressures justify CSR investments addressing poverty, unemployment, and infrastructure deficits as mechanisms for broadening market access and building consumer purchasing power.</w:t>
      </w:r>
    </w:p>
    <w:p w14:paraId="17F1D89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Social Factors: Nigeria's demographic structure, with over 200 million population and high youth concentration, creates massive telecommunications demand. However, social challenges including educational deficits, healthcare access limitations, and infrastructure gaps constrain economic participation and digital inclusion. MTN's CSR focus on education, healthcare, and youth empowerment directly addresses these social determinants, enabling broader market participation while fulfilling corporate citizenship expectations.</w:t>
      </w:r>
    </w:p>
    <w:p w14:paraId="340FDFC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Technological Factors: Rapid technological evolution including 5G deployment, Internet of Things applications, artificial intelligence integration, and cloud computing expansion creates both opportunities and challenges. MTN Nigeria's technological investments including 1,004,650.5 GJ total energy consumption supporting network operations and launch of West </w:t>
      </w:r>
      <w:r w:rsidRPr="00C944EF">
        <w:rPr>
          <w:rFonts w:ascii="Times New Roman" w:hAnsi="Times New Roman" w:cs="Times New Roman"/>
          <w:sz w:val="24"/>
          <w:szCs w:val="24"/>
        </w:rPr>
        <w:lastRenderedPageBreak/>
        <w:t>Africa's first eco-friendly SIM cards demonstrate innovation alignment with environmental sustainability. Technological CSR initiatives including partnerships with Nigerian Meteorological Agency (NIMET) for mobile-based weather forecasting services showcase how corporate capabilities address societal needs.</w:t>
      </w:r>
    </w:p>
    <w:p w14:paraId="60084F2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Legal Factors: The regulatory framework established through the Nigerian Communications Act 2003 provides legal foundations for telecommunications operations. The Nigerian Communications Commission wields extensive powers regarding licensing, quality of service enforcement, consumer protection, competition regulation, and dispute resolution. Compliance represents non-negotiable operational prerequisite, with violations attracting substantial penalties. CSR initiatives supporting regulatory objectives including subscriber registration compliance, quality standards achievement, and consumer education demonstrate corporate commitment beyond minimal legal requirements.</w:t>
      </w:r>
    </w:p>
    <w:p w14:paraId="39D142B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Environmental Factors: Environmental sustainability concerns including carbon emissions, energy consumption, electronic waste management, and climate change impacts increasingly shape corporate accountability expectations. MTN Nigeria's commitment to achieving net zero emissions by 2040, alongside 11% reduction in Scope 1 and 2 emissions compared to 2021 baseline, demonstrates environmental CSR integration. Initiatives including solar-powered base stations, waste segregation programmes through Project </w:t>
      </w:r>
      <w:proofErr w:type="spellStart"/>
      <w:r w:rsidRPr="00C944EF">
        <w:rPr>
          <w:rFonts w:ascii="Times New Roman" w:hAnsi="Times New Roman" w:cs="Times New Roman"/>
          <w:sz w:val="24"/>
          <w:szCs w:val="24"/>
        </w:rPr>
        <w:t>GreenCycle</w:t>
      </w:r>
      <w:proofErr w:type="spellEnd"/>
      <w:r w:rsidRPr="00C944EF">
        <w:rPr>
          <w:rFonts w:ascii="Times New Roman" w:hAnsi="Times New Roman" w:cs="Times New Roman"/>
          <w:sz w:val="24"/>
          <w:szCs w:val="24"/>
        </w:rPr>
        <w:t>, and eco-friendly SIM cards reflect strategic responses to environmental pressures.</w:t>
      </w:r>
    </w:p>
    <w:p w14:paraId="55235608" w14:textId="77777777" w:rsidR="00C944EF" w:rsidRDefault="00C944EF" w:rsidP="00C944EF">
      <w:pPr>
        <w:jc w:val="both"/>
        <w:rPr>
          <w:rFonts w:ascii="Times New Roman" w:hAnsi="Times New Roman" w:cs="Times New Roman"/>
          <w:sz w:val="24"/>
          <w:szCs w:val="24"/>
        </w:rPr>
      </w:pPr>
    </w:p>
    <w:p w14:paraId="1D98FAF3" w14:textId="77777777" w:rsidR="00C944EF" w:rsidRDefault="00C944EF" w:rsidP="00C944EF">
      <w:pPr>
        <w:jc w:val="both"/>
        <w:rPr>
          <w:rFonts w:ascii="Times New Roman" w:hAnsi="Times New Roman" w:cs="Times New Roman"/>
          <w:sz w:val="24"/>
          <w:szCs w:val="24"/>
        </w:rPr>
      </w:pPr>
    </w:p>
    <w:p w14:paraId="7D19CCF5" w14:textId="77777777" w:rsidR="00C944EF" w:rsidRDefault="00C944EF" w:rsidP="00C944EF">
      <w:pPr>
        <w:jc w:val="both"/>
        <w:rPr>
          <w:rFonts w:ascii="Times New Roman" w:hAnsi="Times New Roman" w:cs="Times New Roman"/>
          <w:sz w:val="24"/>
          <w:szCs w:val="24"/>
        </w:rPr>
      </w:pPr>
    </w:p>
    <w:p w14:paraId="57817AAF" w14:textId="77777777" w:rsidR="00C944EF" w:rsidRDefault="00C944EF" w:rsidP="00C944EF">
      <w:pPr>
        <w:jc w:val="both"/>
        <w:rPr>
          <w:rFonts w:ascii="Times New Roman" w:hAnsi="Times New Roman" w:cs="Times New Roman"/>
          <w:sz w:val="24"/>
          <w:szCs w:val="24"/>
        </w:rPr>
      </w:pPr>
    </w:p>
    <w:p w14:paraId="1A1FDF8C" w14:textId="77777777" w:rsidR="00C944EF" w:rsidRDefault="00C944EF" w:rsidP="00C944EF">
      <w:pPr>
        <w:jc w:val="both"/>
        <w:rPr>
          <w:rFonts w:ascii="Times New Roman" w:hAnsi="Times New Roman" w:cs="Times New Roman"/>
          <w:sz w:val="24"/>
          <w:szCs w:val="24"/>
        </w:rPr>
      </w:pPr>
    </w:p>
    <w:p w14:paraId="660331AC" w14:textId="77777777" w:rsidR="00C944EF" w:rsidRDefault="00C944EF" w:rsidP="00C944EF">
      <w:pPr>
        <w:jc w:val="both"/>
        <w:rPr>
          <w:rFonts w:ascii="Times New Roman" w:hAnsi="Times New Roman" w:cs="Times New Roman"/>
          <w:sz w:val="24"/>
          <w:szCs w:val="24"/>
        </w:rPr>
      </w:pPr>
    </w:p>
    <w:p w14:paraId="3BD9BDEA" w14:textId="77777777" w:rsidR="00C944EF" w:rsidRDefault="00C944EF" w:rsidP="00C944EF">
      <w:pPr>
        <w:jc w:val="both"/>
        <w:rPr>
          <w:rFonts w:ascii="Times New Roman" w:hAnsi="Times New Roman" w:cs="Times New Roman"/>
          <w:sz w:val="24"/>
          <w:szCs w:val="24"/>
        </w:rPr>
      </w:pPr>
    </w:p>
    <w:p w14:paraId="5651C5B9" w14:textId="77777777" w:rsidR="00C944EF" w:rsidRDefault="00C944EF" w:rsidP="00C944EF">
      <w:pPr>
        <w:jc w:val="both"/>
        <w:rPr>
          <w:rFonts w:ascii="Times New Roman" w:hAnsi="Times New Roman" w:cs="Times New Roman"/>
          <w:sz w:val="24"/>
          <w:szCs w:val="24"/>
        </w:rPr>
      </w:pPr>
    </w:p>
    <w:p w14:paraId="208A37C8" w14:textId="77777777" w:rsidR="00C944EF" w:rsidRDefault="00C944EF" w:rsidP="00C944EF">
      <w:pPr>
        <w:jc w:val="both"/>
        <w:rPr>
          <w:rFonts w:ascii="Times New Roman" w:hAnsi="Times New Roman" w:cs="Times New Roman"/>
          <w:sz w:val="24"/>
          <w:szCs w:val="24"/>
        </w:rPr>
      </w:pPr>
    </w:p>
    <w:p w14:paraId="7045E8FE" w14:textId="77777777" w:rsidR="00C944EF" w:rsidRDefault="00C944EF" w:rsidP="00C944EF">
      <w:pPr>
        <w:jc w:val="both"/>
        <w:rPr>
          <w:rFonts w:ascii="Times New Roman" w:hAnsi="Times New Roman" w:cs="Times New Roman"/>
          <w:sz w:val="24"/>
          <w:szCs w:val="24"/>
        </w:rPr>
      </w:pPr>
    </w:p>
    <w:p w14:paraId="6C371211" w14:textId="77777777" w:rsidR="00C944EF" w:rsidRDefault="00C944EF" w:rsidP="00C944EF">
      <w:pPr>
        <w:jc w:val="both"/>
        <w:rPr>
          <w:rFonts w:ascii="Times New Roman" w:hAnsi="Times New Roman" w:cs="Times New Roman"/>
          <w:sz w:val="24"/>
          <w:szCs w:val="24"/>
        </w:rPr>
      </w:pPr>
    </w:p>
    <w:p w14:paraId="474AB006" w14:textId="77777777" w:rsidR="00C944EF" w:rsidRDefault="00C944EF" w:rsidP="00C944EF">
      <w:pPr>
        <w:jc w:val="both"/>
        <w:rPr>
          <w:rFonts w:ascii="Times New Roman" w:hAnsi="Times New Roman" w:cs="Times New Roman"/>
          <w:sz w:val="24"/>
          <w:szCs w:val="24"/>
        </w:rPr>
      </w:pPr>
    </w:p>
    <w:p w14:paraId="67292119" w14:textId="77777777" w:rsidR="00C944EF" w:rsidRDefault="00C944EF" w:rsidP="00C944EF">
      <w:pPr>
        <w:jc w:val="both"/>
        <w:rPr>
          <w:rFonts w:ascii="Times New Roman" w:hAnsi="Times New Roman" w:cs="Times New Roman"/>
          <w:sz w:val="24"/>
          <w:szCs w:val="24"/>
        </w:rPr>
      </w:pPr>
    </w:p>
    <w:p w14:paraId="5BDBE643" w14:textId="77777777" w:rsidR="00C944EF" w:rsidRDefault="00C944EF" w:rsidP="00C944EF">
      <w:pPr>
        <w:jc w:val="center"/>
        <w:rPr>
          <w:rFonts w:ascii="Times New Roman" w:hAnsi="Times New Roman" w:cs="Times New Roman"/>
          <w:sz w:val="24"/>
          <w:szCs w:val="24"/>
        </w:rPr>
      </w:pPr>
    </w:p>
    <w:p w14:paraId="11F87BB4" w14:textId="77777777" w:rsidR="00C944EF" w:rsidRDefault="00C944EF" w:rsidP="00C944EF">
      <w:pPr>
        <w:jc w:val="center"/>
        <w:rPr>
          <w:rFonts w:ascii="Times New Roman" w:hAnsi="Times New Roman" w:cs="Times New Roman"/>
          <w:b/>
          <w:bCs/>
          <w:sz w:val="24"/>
          <w:szCs w:val="24"/>
        </w:rPr>
      </w:pPr>
    </w:p>
    <w:p w14:paraId="2EAB54F8" w14:textId="77777777" w:rsidR="00C944EF" w:rsidRDefault="00C944EF" w:rsidP="00C944EF">
      <w:pPr>
        <w:jc w:val="center"/>
        <w:rPr>
          <w:rFonts w:ascii="Times New Roman" w:hAnsi="Times New Roman" w:cs="Times New Roman"/>
          <w:b/>
          <w:bCs/>
          <w:sz w:val="24"/>
          <w:szCs w:val="24"/>
        </w:rPr>
      </w:pPr>
    </w:p>
    <w:p w14:paraId="6F53E385" w14:textId="04AE52CE"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lastRenderedPageBreak/>
        <w:t>CHAPTER FOUR: STRATEGIC APPLICATION AND PERFORMANCE OUTCOMES</w:t>
      </w:r>
    </w:p>
    <w:p w14:paraId="004C47C7" w14:textId="3E1EB536"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t>CSR STRATEGIC ARCHITECTURE</w:t>
      </w:r>
    </w:p>
    <w:p w14:paraId="7E555572" w14:textId="77777777" w:rsidR="00C944EF" w:rsidRPr="00C944EF" w:rsidRDefault="00C944EF" w:rsidP="00C944EF">
      <w:pPr>
        <w:jc w:val="center"/>
        <w:rPr>
          <w:rFonts w:ascii="Times New Roman" w:hAnsi="Times New Roman" w:cs="Times New Roman"/>
          <w:b/>
          <w:bCs/>
          <w:sz w:val="28"/>
          <w:szCs w:val="28"/>
        </w:rPr>
      </w:pPr>
    </w:p>
    <w:p w14:paraId="096A447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MTN Nigeria's CSR architecture operates through four strategic pillars articulated within the broader BRIGHT strategy framework: Doing for Planet, Doing for People, </w:t>
      </w:r>
      <w:proofErr w:type="gramStart"/>
      <w:r w:rsidRPr="00C944EF">
        <w:rPr>
          <w:rFonts w:ascii="Times New Roman" w:hAnsi="Times New Roman" w:cs="Times New Roman"/>
          <w:sz w:val="24"/>
          <w:szCs w:val="24"/>
        </w:rPr>
        <w:t>Doing</w:t>
      </w:r>
      <w:proofErr w:type="gramEnd"/>
      <w:r w:rsidRPr="00C944EF">
        <w:rPr>
          <w:rFonts w:ascii="Times New Roman" w:hAnsi="Times New Roman" w:cs="Times New Roman"/>
          <w:sz w:val="24"/>
          <w:szCs w:val="24"/>
        </w:rPr>
        <w:t xml:space="preserve"> it Right, and Doing for Growth. This structure aligns CSR objectives with corporate strategy, ensuring social investments reinforce business goals rather than function as disconnected philanthropic activities.</w:t>
      </w:r>
    </w:p>
    <w:p w14:paraId="4CD1FC7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Doing for Planet encompasses environmental sustainability commitments including emissions reduction, renewable energy adoption, and waste management improvements. The 11% reduction in greenhouse gas emissions, deployment of 194 solar-powered sites, and launch of recyclable SIM cards demonstrate tangible progress toward environmental objectives. These initiatives respond to regulatory and stakeholder expectations regarding environmental stewardship while generating operational efficiencies through renewable energy adoption reducing diesel consumption costs.</w:t>
      </w:r>
    </w:p>
    <w:p w14:paraId="2ECEA0D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Doing for People addresses social development imperatives including digital inclusion, financial inclusion, gender equality, and community empowerment. MTN Foundation's N3.5 billion investment in 2024 supported initiatives spanning education through scholarship programmes and infrastructure rehabilitation, healthcare through free medical screenings and facility upgrades, and economic empowerment through entrepreneurship support and skills development. The company's commitment to 50% female workforce representation by 2030, alongside 41.4% current achievement, demonstrates internal diversity alignment reinforcing external CSR messaging.</w:t>
      </w:r>
    </w:p>
    <w:p w14:paraId="47FDE15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Doing it Right emphasises governance, ethical conduct, transparency, and stakeholder accountability. MTN Nigeria's adoption of multiple international reporting frameworks including IFRS Sustainability Disclosure Standards (S1 and S2), GRI Standards, SASB guidelines, and UN Global Compact Principles demonstrates commitment to transparency exceeding minimum regulatory requirements. The achievement of CDP rating of 'B-' for Climate Change and 'C' for Water Security reflects third-party validation of environmental performance disclosure quality.</w:t>
      </w:r>
    </w:p>
    <w:p w14:paraId="71BB13D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Doing for Growth recognises CSR's contribution to economic development through tax contributions, local procurement, infrastructure investment, and capacity building. MTN Nigeria's payment of N764.2 billion in taxes and levies in 2024, alongside directing 59.6% of procurement spending worth N1.48 trillion toward local suppliers, demonstrates substantial economic contributions supplementing direct CSR programming. These investments stimulate economic activities creating employment opportunities and supporting small and medium enterprise development within telecommunications value chains.</w:t>
      </w:r>
    </w:p>
    <w:p w14:paraId="3C2FA07B" w14:textId="77777777" w:rsidR="00C944EF" w:rsidRDefault="00C944EF" w:rsidP="00C944EF">
      <w:pPr>
        <w:jc w:val="both"/>
        <w:rPr>
          <w:rFonts w:ascii="Times New Roman" w:hAnsi="Times New Roman" w:cs="Times New Roman"/>
          <w:b/>
          <w:bCs/>
          <w:sz w:val="24"/>
          <w:szCs w:val="24"/>
        </w:rPr>
      </w:pPr>
    </w:p>
    <w:p w14:paraId="36428E67" w14:textId="77777777" w:rsidR="00C944EF" w:rsidRDefault="00C944EF" w:rsidP="00C944EF">
      <w:pPr>
        <w:jc w:val="both"/>
        <w:rPr>
          <w:rFonts w:ascii="Times New Roman" w:hAnsi="Times New Roman" w:cs="Times New Roman"/>
          <w:b/>
          <w:bCs/>
          <w:sz w:val="24"/>
          <w:szCs w:val="24"/>
        </w:rPr>
      </w:pPr>
    </w:p>
    <w:p w14:paraId="54CF49B8" w14:textId="77777777" w:rsidR="00C944EF" w:rsidRDefault="00C944EF" w:rsidP="00C944EF">
      <w:pPr>
        <w:jc w:val="both"/>
        <w:rPr>
          <w:rFonts w:ascii="Times New Roman" w:hAnsi="Times New Roman" w:cs="Times New Roman"/>
          <w:b/>
          <w:bCs/>
          <w:sz w:val="24"/>
          <w:szCs w:val="24"/>
        </w:rPr>
      </w:pPr>
    </w:p>
    <w:p w14:paraId="30F4BFED" w14:textId="325DD55E"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lastRenderedPageBreak/>
        <w:t>Implementation Mechanisms and Partnerships</w:t>
      </w:r>
    </w:p>
    <w:p w14:paraId="3873B02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Effective CSR implementation requires institutional mechanisms ensuring systematic planning, execution, monitoring, and evaluation. MTN Foundation serves as dedicated institutional vehicle channelling CSR investments and coordinating programme implementation. The Foundation operates with clear governance structures including board oversight, management accountability, and stakeholder engagement protocols ensuring transparency and effectiveness.</w:t>
      </w:r>
    </w:p>
    <w:p w14:paraId="4939A5D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Strategic partnerships amplify CSR impact by leveraging complementary capabilities and resources. MTN collaborates with governmental agencies, non-governmental organisations, educational institutions, healthcare providers, and community-based organisations to design and deliver programmes. The company's partnership with the Nigerian Meteorological Agency exemplifies innovative collaborations where telecommunications capabilities enable public service delivery improvements. Similarly, collaborations with local governments in managing and maintaining infrastructure projects ensure sustainability beyond initial corporate investments.</w:t>
      </w:r>
    </w:p>
    <w:p w14:paraId="439B91C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"What Can We Do Together" participatory framework represents innovative stakeholder engagement approach empowering communities to identify priority needs and propose development projects. Since launch in September 2015, this initiative has transformed numerous lives by ensuring CSR projects respond to authentic community needs rather than corporate assumptions. This community-driven approach fosters ownership, enhances programme relevance, and builds stronger stakeholder relationships characterised by reciprocity rather than paternalism.</w:t>
      </w:r>
    </w:p>
    <w:p w14:paraId="423552DE"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Performance Outcomes and Impact Assessment</w:t>
      </w:r>
    </w:p>
    <w:p w14:paraId="12B8EFF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Evaluating CSR performance outcomes requires examining multiple dimensions including social impact, business performance, stakeholder perceptions, and strategic positioning.</w:t>
      </w:r>
    </w:p>
    <w:p w14:paraId="5BDB482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Social Impact: MTN Foundation's 2024 activities directly impacted over 663,300 lives across education, healthcare, and economic empowerment domains. Educational initiatives including scholarships and school infrastructure rehabilitation increased access to quality education, particularly in underserved communities. Healthcare programmes including free screening and treatment services addressed disease burdens while improving healthcare access. Economic empowerment through entrepreneurship training and financial support enhanced livelihood opportunities particularly for women and youth.</w:t>
      </w:r>
    </w:p>
    <w:p w14:paraId="066BBD1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However, measuring authentic social impact extends beyond beneficiary counts to examining depth and sustainability of change. Research indicates that while MTN's CSR initiatives contribute positively to community development, challenges persist regarding long-term sustainability mechanisms, limited community involvement in planning phases, and potential gaps between corporate priorities and community needs. The company's transition toward more participatory approaches represents progress, but continuous improvement remains necessary to maximise developmental effectiveness.</w:t>
      </w:r>
    </w:p>
    <w:p w14:paraId="6E41C25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Business Performance: The relationship between CSR and business performance manifests through multiple pathways. MTN Nigeria's 79% Reputation Index score, exceeding the 75% benchmark, reflects reputational capital translating into customer preference and loyalty. The </w:t>
      </w:r>
      <w:r w:rsidRPr="00C944EF">
        <w:rPr>
          <w:rFonts w:ascii="Times New Roman" w:hAnsi="Times New Roman" w:cs="Times New Roman"/>
          <w:sz w:val="24"/>
          <w:szCs w:val="24"/>
        </w:rPr>
        <w:lastRenderedPageBreak/>
        <w:t>company's maintenance of market leadership position, with subscriber base reaching 74.1 million despite intense competition, suggests brand strength reinforced through CSR investments.</w:t>
      </w:r>
    </w:p>
    <w:p w14:paraId="6BC888A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Financial performance metrics demonstrate resilience, with the company swinging from loss to post-tax profit of N414.9 billion in first half 2025, accompanied by 189% increase in tax payments to N207.4 billion. While attributing financial performance solely to CSR proves methodologically challenging, meta-analytic research confirms generally positive CSR-financial performance relationships, particularly pronounced in emerging economies. CSR functions as strategic insurance, building stakeholder goodwill that provides resilience during crises and creates intangible assets supporting long-term value creation.</w:t>
      </w:r>
    </w:p>
    <w:p w14:paraId="072F1F7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Stakeholder Relations: Enhanced stakeholder relationships represent critical performance outcome. Regulatory relationships, though historically strained, show improvement reflected in collaborative engagements and MTN's participation in policy development processes. Community relationships, strengthened through visible development interventions, reduce operational disruptions and facilitate network expansion into previously resistant areas. Customer relationships benefit from brand associations with positive social impact, supporting retention in competitive markets.</w:t>
      </w:r>
    </w:p>
    <w:p w14:paraId="35D63BD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Employee relations reflect CSR's internal dimensions. The 41.4% female workforce representation, commitment to disability inclusion with 41 employees representing 2.2% of workforce, and investments in skills development create organisational culture aligned with societal values. This internal alignment supports talent attraction and retention while enhancing employee engagement and productivity.</w:t>
      </w:r>
    </w:p>
    <w:p w14:paraId="76C2A8B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Competitive Positioning: CSR contributes to competitive differentiation in markets where product homogeneity limits traditional differentiation bases. MTN's leadership in social investments, transparency, and sustainability performance creates competitive advantages difficult for rivals to replicate quickly. The company's first-mover status in eco-friendly SIM cards, comprehensive sustainability reporting adoption, and scale of community interventions establish market positioning as socially responsible industry leader.</w:t>
      </w:r>
    </w:p>
    <w:p w14:paraId="24CFF0E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However, competitive advantages remain contestable. Competitors including </w:t>
      </w:r>
      <w:proofErr w:type="spellStart"/>
      <w:r w:rsidRPr="00C944EF">
        <w:rPr>
          <w:rFonts w:ascii="Times New Roman" w:hAnsi="Times New Roman" w:cs="Times New Roman"/>
          <w:sz w:val="24"/>
          <w:szCs w:val="24"/>
        </w:rPr>
        <w:t>Globacom</w:t>
      </w:r>
      <w:proofErr w:type="spellEnd"/>
      <w:r w:rsidRPr="00C944EF">
        <w:rPr>
          <w:rFonts w:ascii="Times New Roman" w:hAnsi="Times New Roman" w:cs="Times New Roman"/>
          <w:sz w:val="24"/>
          <w:szCs w:val="24"/>
        </w:rPr>
        <w:t xml:space="preserve"> and Airtel implement CSR programmes potentially eroding MTN's differentiation. Sustained competitive advantage requires continuous innovation in social programming, deepening community relationships, and authentic stakeholder engagement transcending symbolic gestures.</w:t>
      </w:r>
    </w:p>
    <w:p w14:paraId="585A18E6" w14:textId="0821BAE0" w:rsidR="00C944EF" w:rsidRDefault="00C944EF" w:rsidP="00C944EF">
      <w:pPr>
        <w:jc w:val="both"/>
        <w:rPr>
          <w:rFonts w:ascii="Times New Roman" w:hAnsi="Times New Roman" w:cs="Times New Roman"/>
          <w:sz w:val="24"/>
          <w:szCs w:val="24"/>
        </w:rPr>
      </w:pPr>
    </w:p>
    <w:p w14:paraId="110ADD13" w14:textId="68CFD022" w:rsidR="00C944EF" w:rsidRDefault="00C944EF" w:rsidP="00C944EF">
      <w:pPr>
        <w:jc w:val="both"/>
        <w:rPr>
          <w:rFonts w:ascii="Times New Roman" w:hAnsi="Times New Roman" w:cs="Times New Roman"/>
          <w:sz w:val="24"/>
          <w:szCs w:val="24"/>
        </w:rPr>
      </w:pPr>
    </w:p>
    <w:p w14:paraId="077084F7" w14:textId="02A9BEB1" w:rsidR="00C944EF" w:rsidRDefault="00C944EF" w:rsidP="00C944EF">
      <w:pPr>
        <w:jc w:val="both"/>
        <w:rPr>
          <w:rFonts w:ascii="Times New Roman" w:hAnsi="Times New Roman" w:cs="Times New Roman"/>
          <w:sz w:val="24"/>
          <w:szCs w:val="24"/>
        </w:rPr>
      </w:pPr>
    </w:p>
    <w:p w14:paraId="4505404D" w14:textId="7580A60F" w:rsidR="00C944EF" w:rsidRDefault="00C944EF" w:rsidP="00C944EF">
      <w:pPr>
        <w:jc w:val="both"/>
        <w:rPr>
          <w:rFonts w:ascii="Times New Roman" w:hAnsi="Times New Roman" w:cs="Times New Roman"/>
          <w:sz w:val="24"/>
          <w:szCs w:val="24"/>
        </w:rPr>
      </w:pPr>
    </w:p>
    <w:p w14:paraId="636F875B" w14:textId="48A89C47" w:rsidR="00C944EF" w:rsidRDefault="00C944EF" w:rsidP="00C944EF">
      <w:pPr>
        <w:jc w:val="both"/>
        <w:rPr>
          <w:rFonts w:ascii="Times New Roman" w:hAnsi="Times New Roman" w:cs="Times New Roman"/>
          <w:sz w:val="24"/>
          <w:szCs w:val="24"/>
        </w:rPr>
      </w:pPr>
    </w:p>
    <w:p w14:paraId="0780310E" w14:textId="5BE690B8" w:rsidR="00C944EF" w:rsidRDefault="00C944EF" w:rsidP="00C944EF">
      <w:pPr>
        <w:jc w:val="both"/>
        <w:rPr>
          <w:rFonts w:ascii="Times New Roman" w:hAnsi="Times New Roman" w:cs="Times New Roman"/>
          <w:sz w:val="24"/>
          <w:szCs w:val="24"/>
        </w:rPr>
      </w:pPr>
    </w:p>
    <w:p w14:paraId="6633DD05" w14:textId="77777777" w:rsidR="00C944EF" w:rsidRDefault="00C944EF" w:rsidP="00C944EF">
      <w:pPr>
        <w:jc w:val="center"/>
        <w:rPr>
          <w:rFonts w:ascii="Times New Roman" w:hAnsi="Times New Roman" w:cs="Times New Roman"/>
          <w:sz w:val="24"/>
          <w:szCs w:val="24"/>
        </w:rPr>
      </w:pPr>
    </w:p>
    <w:p w14:paraId="137A0BDF" w14:textId="0A2C7291" w:rsidR="00C944EF" w:rsidRP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lastRenderedPageBreak/>
        <w:t>CHAPTER FIVE: FINDINGS, CONCLUSION, AND STRATEGIC IMPLICATIONS</w:t>
      </w:r>
    </w:p>
    <w:p w14:paraId="4C261518" w14:textId="68E71567" w:rsidR="00C944EF" w:rsidRDefault="00C944EF" w:rsidP="00C944EF">
      <w:pPr>
        <w:jc w:val="center"/>
        <w:rPr>
          <w:rFonts w:ascii="Times New Roman" w:hAnsi="Times New Roman" w:cs="Times New Roman"/>
          <w:b/>
          <w:bCs/>
          <w:sz w:val="24"/>
          <w:szCs w:val="24"/>
        </w:rPr>
      </w:pPr>
      <w:r w:rsidRPr="00C944EF">
        <w:rPr>
          <w:rFonts w:ascii="Times New Roman" w:hAnsi="Times New Roman" w:cs="Times New Roman"/>
          <w:b/>
          <w:bCs/>
          <w:sz w:val="24"/>
          <w:szCs w:val="24"/>
        </w:rPr>
        <w:t>KEY FINDINGS</w:t>
      </w:r>
    </w:p>
    <w:p w14:paraId="4C04814B" w14:textId="77777777" w:rsidR="00C944EF" w:rsidRPr="00C944EF" w:rsidRDefault="00C944EF" w:rsidP="00C944EF">
      <w:pPr>
        <w:jc w:val="center"/>
        <w:rPr>
          <w:rFonts w:ascii="Times New Roman" w:hAnsi="Times New Roman" w:cs="Times New Roman"/>
          <w:b/>
          <w:bCs/>
          <w:sz w:val="24"/>
          <w:szCs w:val="24"/>
        </w:rPr>
      </w:pPr>
    </w:p>
    <w:p w14:paraId="6C042490"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This critical analysis yields several significant findings regarding the strategic role of CSR in shaping MTN Nigeria's organisational performance:</w:t>
      </w:r>
    </w:p>
    <w:p w14:paraId="75FBA94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1: CSR functions as strategic policy instrument rather than peripheral philanthropic activity, deeply integrated within MTN Nigeria's corporate strategy through the BRIGHT framework pillars addressing environmental, social, governance, and economic dimensions.</w:t>
      </w:r>
    </w:p>
    <w:p w14:paraId="5299606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2: Stakeholder Theory and Resource-Based View provide complementary explanatory frameworks illuminating how CSR builds stakeholder relationships while developing organisational capabilities that create competitive advantages rooted in reputational capital, brand equity, and stakeholder trust.</w:t>
      </w:r>
    </w:p>
    <w:p w14:paraId="6114535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3: MTN Nigeria's CSR investments yield measurable social impacts including 663,300 direct beneficiaries, alongside business performance outcomes reflected in 79% Reputation Index score, market leadership maintenance, and financial resilience despite challenging operating environments.</w:t>
      </w:r>
    </w:p>
    <w:p w14:paraId="63CF11F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4: The telecommunications sector's unique characteristics including network externalities, regulatory intensity, community dependencies, and social enablement functions elevate CSR's strategic significance relative to sectors with limited societal touchpoints.</w:t>
      </w:r>
    </w:p>
    <w:p w14:paraId="19F12240"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5: Effective CSR implementation requires institutional mechanisms including dedicated foundations, governance structures, partnership ecosystems, participatory frameworks, and transparent reporting systems ensuring systematic planning, execution, and accountability.</w:t>
      </w:r>
    </w:p>
    <w:p w14:paraId="52BBABD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Finding 6: Challenges persist regarding CSR sustainability including funding vulnerabilities during economic downturns, measurement difficulties in attributing business outcomes to social investments, and potential gaps between corporate priorities and authentic community needs requiring continuous stakeholder engagement and programme adaptation.</w:t>
      </w:r>
    </w:p>
    <w:p w14:paraId="04BC58F6"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Conclusion</w:t>
      </w:r>
    </w:p>
    <w:p w14:paraId="48AD808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Corporate Social Responsibility represents far more than regulatory compliance obligation or reputational window dressing for MTN Nigeria. Rather, CSR constitutes strategic policy domain fundamentally shaping organisational performance through multiple interconnected pathways. The theoretical integration of Stakeholder Theory and Resource-Based View reveals CSR as mechanism simultaneously addressing external stakeholder expectations while building internal capabilities that differentiate firms and sustain competitive advantages.</w:t>
      </w:r>
    </w:p>
    <w:p w14:paraId="4328867F"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Within Nigeria's telecommunications sector, CSR assumes heightened strategic significance given the industry's role as digital transformation enabler, economic development catalyst, and essential infrastructure provider. MTN Nigeria's market leadership position, coupled with historical regulatory challenges and intense competitive pressures, necessitates CSR investments that build stakeholder goodwill, establish social licence to operate, and differentiate the brand beyond price competition.</w:t>
      </w:r>
    </w:p>
    <w:p w14:paraId="04BC8C9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lastRenderedPageBreak/>
        <w:t>The evidence demonstrates that MTN Nigeria's substantial CSR commitments, channelled through the MTN Foundation's programmatic interventions spanning education, healthcare, economic empowerment, and environmental sustainability, yield tangible social impacts while contributing to business performance outcomes including enhanced reputation, market positioning, regulatory relations, and stakeholder loyalty. However, maximising strategic value requires continuous evolution in CSR approaches, emphasising authentic stakeholder engagement, programme sustainability, impact measurement rigour, and alignment between social investments and core business capabilities.</w:t>
      </w:r>
    </w:p>
    <w:p w14:paraId="506AE150" w14:textId="77777777" w:rsidR="00C944EF" w:rsidRPr="00C944EF" w:rsidRDefault="00C944EF" w:rsidP="00C944EF">
      <w:pPr>
        <w:jc w:val="both"/>
        <w:rPr>
          <w:rFonts w:ascii="Times New Roman" w:hAnsi="Times New Roman" w:cs="Times New Roman"/>
          <w:b/>
          <w:bCs/>
          <w:sz w:val="24"/>
          <w:szCs w:val="24"/>
        </w:rPr>
      </w:pPr>
      <w:r w:rsidRPr="00C944EF">
        <w:rPr>
          <w:rFonts w:ascii="Times New Roman" w:hAnsi="Times New Roman" w:cs="Times New Roman"/>
          <w:b/>
          <w:bCs/>
          <w:sz w:val="24"/>
          <w:szCs w:val="24"/>
        </w:rPr>
        <w:t>Strategic Implications and Recommendations</w:t>
      </w:r>
    </w:p>
    <w:p w14:paraId="2F528D1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findings generate several strategic implications for MTN Nigeria's future CSR trajectory, alongside broader lessons for telecommunications operators and corporations operating in emerging market contexts:</w:t>
      </w:r>
    </w:p>
    <w:p w14:paraId="0CFB425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Recommendation 1: Deepen Participatory Approaches. While MTN Nigeria's "What Can We Do Together" initiative represents positive movement toward community-driven CSR, further strengthening participatory frameworks remains essential. Future CSR planning should systematically incorporate community needs assessments, stakeholder consultations, and co-design processes ensuring programmes address authentic priorities rather than corporate assumptions. This participatory deepening enhances programme relevance, fosters community ownership, and builds stronger stakeholder relationships characterised by mutual respect and shared responsibility.</w:t>
      </w:r>
    </w:p>
    <w:p w14:paraId="1E2D9432"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Recommendation 2: Strengthen Impact Measurement and Evaluation. Robust monitoring and evaluation systems remain critical for demonstrating CSR effectiveness, informing programme improvements, and justifying continued investments. MTN Nigeria should implement comprehensive evaluation frameworks capturing both quantitative metrics including beneficiary numbers, service delivery statistics, and outcome indicators, alongside qualitative assessments examining beneficiary experiences, community perceptions, and sustainability prospects. Regular impact evaluations, conducted by independent third parties, enhance credibility and provide evidence-based insights guiding strategic adjustments.</w:t>
      </w:r>
    </w:p>
    <w:p w14:paraId="559B14A9"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Recommendation 3: Enhance Sustainability Mechanisms. Ensuring CSR initiatives generate lasting change rather than temporary relief requires explicit attention to sustainability planning. Future programmes should incorporate exit strategies, capacity building for local management, partnership development with governmental and non-governmental organisations assuming long-term responsibilities, and funding models reducing dependence on continuous corporate inputs. Sustainable interventions amplify CSR impact while demonstrating genuine commitment to community development beyond short-term corporate image enhancement.</w:t>
      </w:r>
    </w:p>
    <w:p w14:paraId="397470B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Recommendation 4: Leverage Technology for Social Innovation. As telecommunications operator, MTN possesses technological capabilities applicable to development challenges through innovative applications. Expanding technology-enabled CSR initiatives including mobile health information systems, digital education platforms, agricultural information services, and financial inclusion solutions creates shared value where social impact reinforces business objectives. These innovations differentiate MTN as technology leader while addressing development needs aligned with digital transformation imperatives.</w:t>
      </w:r>
    </w:p>
    <w:p w14:paraId="4314BD60"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lastRenderedPageBreak/>
        <w:t>Recommendation 5: Strengthen Environmental Sustainability Integration. While MTN Nigeria demonstrates environmental commitment through emissions reduction targets and renewable energy adoption, further integration remains possible. Future CSR should explicitly link social development objectives with environmental sustainability, including green infrastructure investments, climate adaptation support for vulnerable communities, and environmental education programmes. This integrated approach responds to growing stakeholder expectations regarding environmental stewardship while contributing to climate resilience.</w:t>
      </w:r>
    </w:p>
    <w:p w14:paraId="0DB1DBC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Recommendation 6: Enhance Transparency and Stakeholder Communication. Although MTN Nigeria has adopted multiple international reporting frameworks demonstrating transparency leadership, continuous improvement in stakeholder communication remains valuable. Future reporting should increase accessibility through simplified communications targeting diverse stakeholder groups, enhance frequency through regular progress updates beyond annual reports, and strengthen dialogue through responsive feedback mechanisms addressing stakeholder concerns and suggestions.</w:t>
      </w:r>
    </w:p>
    <w:p w14:paraId="7B482059"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The strategic role of CSR in shaping organisational performance continues evolving as stakeholder expectations intensify, regulatory frameworks tighten, and societal challenges demand corporate engagement beyond traditional profit maximisation. For MTN Nigeria, maintaining strategic CSR leadership requires continuous innovation, authentic stakeholder partnerships, and unwavering commitment to creating shared value where business success and social progress mutually reinforce rather than compete. The journey toward sustainable telecommunications ecosystem benefiting both corporation and society represents ongoing challenge requiring vigilance, adaptation, and principled leadership committed to responsible business practices that honour both profit imperatives and societal obligations.</w:t>
      </w:r>
    </w:p>
    <w:p w14:paraId="4D990FD1" w14:textId="77777777" w:rsidR="00C944EF" w:rsidRDefault="00C944EF" w:rsidP="00C944EF">
      <w:pPr>
        <w:jc w:val="both"/>
        <w:rPr>
          <w:rFonts w:ascii="Times New Roman" w:hAnsi="Times New Roman" w:cs="Times New Roman"/>
          <w:sz w:val="24"/>
          <w:szCs w:val="24"/>
        </w:rPr>
      </w:pPr>
    </w:p>
    <w:p w14:paraId="2647DD58" w14:textId="77777777" w:rsidR="00C944EF" w:rsidRDefault="00C944EF" w:rsidP="00C944EF">
      <w:pPr>
        <w:jc w:val="both"/>
        <w:rPr>
          <w:rFonts w:ascii="Times New Roman" w:hAnsi="Times New Roman" w:cs="Times New Roman"/>
          <w:sz w:val="24"/>
          <w:szCs w:val="24"/>
        </w:rPr>
      </w:pPr>
    </w:p>
    <w:p w14:paraId="4CDDCB4A" w14:textId="77777777" w:rsidR="00C944EF" w:rsidRDefault="00C944EF" w:rsidP="00C944EF">
      <w:pPr>
        <w:jc w:val="both"/>
        <w:rPr>
          <w:rFonts w:ascii="Times New Roman" w:hAnsi="Times New Roman" w:cs="Times New Roman"/>
          <w:sz w:val="24"/>
          <w:szCs w:val="24"/>
        </w:rPr>
      </w:pPr>
    </w:p>
    <w:p w14:paraId="0FC5CF24" w14:textId="77777777" w:rsidR="00C944EF" w:rsidRDefault="00C944EF" w:rsidP="00C944EF">
      <w:pPr>
        <w:jc w:val="both"/>
        <w:rPr>
          <w:rFonts w:ascii="Times New Roman" w:hAnsi="Times New Roman" w:cs="Times New Roman"/>
          <w:sz w:val="24"/>
          <w:szCs w:val="24"/>
        </w:rPr>
      </w:pPr>
    </w:p>
    <w:p w14:paraId="7BEBE953" w14:textId="77777777" w:rsidR="00C944EF" w:rsidRDefault="00C944EF" w:rsidP="00C944EF">
      <w:pPr>
        <w:jc w:val="both"/>
        <w:rPr>
          <w:rFonts w:ascii="Times New Roman" w:hAnsi="Times New Roman" w:cs="Times New Roman"/>
          <w:sz w:val="24"/>
          <w:szCs w:val="24"/>
        </w:rPr>
      </w:pPr>
    </w:p>
    <w:p w14:paraId="092E4AB0" w14:textId="77777777" w:rsidR="00C944EF" w:rsidRDefault="00C944EF" w:rsidP="00C944EF">
      <w:pPr>
        <w:jc w:val="both"/>
        <w:rPr>
          <w:rFonts w:ascii="Times New Roman" w:hAnsi="Times New Roman" w:cs="Times New Roman"/>
          <w:sz w:val="24"/>
          <w:szCs w:val="24"/>
        </w:rPr>
      </w:pPr>
    </w:p>
    <w:p w14:paraId="5CB619B4" w14:textId="77777777" w:rsidR="00C944EF" w:rsidRDefault="00C944EF" w:rsidP="00C944EF">
      <w:pPr>
        <w:jc w:val="both"/>
        <w:rPr>
          <w:rFonts w:ascii="Times New Roman" w:hAnsi="Times New Roman" w:cs="Times New Roman"/>
          <w:sz w:val="24"/>
          <w:szCs w:val="24"/>
        </w:rPr>
      </w:pPr>
    </w:p>
    <w:p w14:paraId="489ADF93" w14:textId="77777777" w:rsidR="00C944EF" w:rsidRDefault="00C944EF" w:rsidP="00C944EF">
      <w:pPr>
        <w:jc w:val="both"/>
        <w:rPr>
          <w:rFonts w:ascii="Times New Roman" w:hAnsi="Times New Roman" w:cs="Times New Roman"/>
          <w:sz w:val="24"/>
          <w:szCs w:val="24"/>
        </w:rPr>
      </w:pPr>
    </w:p>
    <w:p w14:paraId="5C80DA69" w14:textId="77777777" w:rsidR="00C944EF" w:rsidRDefault="00C944EF" w:rsidP="00C944EF">
      <w:pPr>
        <w:jc w:val="both"/>
        <w:rPr>
          <w:rFonts w:ascii="Times New Roman" w:hAnsi="Times New Roman" w:cs="Times New Roman"/>
          <w:sz w:val="24"/>
          <w:szCs w:val="24"/>
        </w:rPr>
      </w:pPr>
    </w:p>
    <w:p w14:paraId="1D8D40AA" w14:textId="77777777" w:rsidR="00C944EF" w:rsidRDefault="00C944EF" w:rsidP="00C944EF">
      <w:pPr>
        <w:jc w:val="both"/>
        <w:rPr>
          <w:rFonts w:ascii="Times New Roman" w:hAnsi="Times New Roman" w:cs="Times New Roman"/>
          <w:sz w:val="24"/>
          <w:szCs w:val="24"/>
        </w:rPr>
      </w:pPr>
    </w:p>
    <w:p w14:paraId="634174FF" w14:textId="77777777" w:rsidR="00C944EF" w:rsidRDefault="00C944EF" w:rsidP="00C944EF">
      <w:pPr>
        <w:jc w:val="both"/>
        <w:rPr>
          <w:rFonts w:ascii="Times New Roman" w:hAnsi="Times New Roman" w:cs="Times New Roman"/>
          <w:sz w:val="24"/>
          <w:szCs w:val="24"/>
        </w:rPr>
      </w:pPr>
    </w:p>
    <w:p w14:paraId="5F6CEE79" w14:textId="77777777" w:rsidR="00C944EF" w:rsidRDefault="00C944EF" w:rsidP="00C944EF">
      <w:pPr>
        <w:jc w:val="both"/>
        <w:rPr>
          <w:rFonts w:ascii="Times New Roman" w:hAnsi="Times New Roman" w:cs="Times New Roman"/>
          <w:sz w:val="24"/>
          <w:szCs w:val="24"/>
        </w:rPr>
      </w:pPr>
    </w:p>
    <w:p w14:paraId="797B2A50" w14:textId="77777777" w:rsidR="00C944EF" w:rsidRDefault="00C944EF" w:rsidP="00C944EF">
      <w:pPr>
        <w:jc w:val="both"/>
        <w:rPr>
          <w:rFonts w:ascii="Times New Roman" w:hAnsi="Times New Roman" w:cs="Times New Roman"/>
          <w:sz w:val="24"/>
          <w:szCs w:val="24"/>
        </w:rPr>
      </w:pPr>
    </w:p>
    <w:p w14:paraId="4C3B7ECC" w14:textId="77777777" w:rsidR="00C944EF" w:rsidRDefault="00C944EF" w:rsidP="00C944EF">
      <w:pPr>
        <w:jc w:val="both"/>
        <w:rPr>
          <w:rFonts w:ascii="Times New Roman" w:hAnsi="Times New Roman" w:cs="Times New Roman"/>
          <w:sz w:val="24"/>
          <w:szCs w:val="24"/>
        </w:rPr>
      </w:pPr>
    </w:p>
    <w:p w14:paraId="494D0535" w14:textId="35DF9A14" w:rsidR="00C944EF" w:rsidRPr="00C944EF" w:rsidRDefault="00C944EF" w:rsidP="00C944EF">
      <w:pPr>
        <w:jc w:val="both"/>
        <w:rPr>
          <w:rFonts w:ascii="Times New Roman" w:hAnsi="Times New Roman" w:cs="Times New Roman"/>
          <w:b/>
          <w:bCs/>
          <w:sz w:val="28"/>
          <w:szCs w:val="28"/>
        </w:rPr>
      </w:pPr>
      <w:r w:rsidRPr="00C944EF">
        <w:rPr>
          <w:rFonts w:ascii="Times New Roman" w:hAnsi="Times New Roman" w:cs="Times New Roman"/>
          <w:b/>
          <w:bCs/>
          <w:sz w:val="28"/>
          <w:szCs w:val="28"/>
        </w:rPr>
        <w:lastRenderedPageBreak/>
        <w:t>REFERENCES</w:t>
      </w:r>
    </w:p>
    <w:p w14:paraId="2ACD960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Adeleke, A. (2009). How external forces are influencing the e-business strategy of MTN-Nigeria. </w:t>
      </w:r>
      <w:r w:rsidRPr="00C944EF">
        <w:rPr>
          <w:rFonts w:ascii="Times New Roman" w:hAnsi="Times New Roman" w:cs="Times New Roman"/>
          <w:i/>
          <w:iCs/>
          <w:sz w:val="24"/>
          <w:szCs w:val="24"/>
        </w:rPr>
        <w:t>Blekinge Institute of Technology</w:t>
      </w:r>
      <w:r w:rsidRPr="00C944EF">
        <w:rPr>
          <w:rFonts w:ascii="Times New Roman" w:hAnsi="Times New Roman" w:cs="Times New Roman"/>
          <w:sz w:val="24"/>
          <w:szCs w:val="24"/>
        </w:rPr>
        <w:t>.</w:t>
      </w:r>
    </w:p>
    <w:p w14:paraId="2C0140D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Adi, B. (2015). An evaluation of the Nigerian telecommunication industry competitiveness: Application of Porter's five forces model. </w:t>
      </w:r>
      <w:r w:rsidRPr="00C944EF">
        <w:rPr>
          <w:rFonts w:ascii="Times New Roman" w:hAnsi="Times New Roman" w:cs="Times New Roman"/>
          <w:i/>
          <w:iCs/>
          <w:sz w:val="24"/>
          <w:szCs w:val="24"/>
        </w:rPr>
        <w:t>International Journal of Business and Management</w:t>
      </w:r>
      <w:r w:rsidRPr="00C944EF">
        <w:rPr>
          <w:rFonts w:ascii="Times New Roman" w:hAnsi="Times New Roman" w:cs="Times New Roman"/>
          <w:sz w:val="24"/>
          <w:szCs w:val="24"/>
        </w:rPr>
        <w:t>.</w:t>
      </w:r>
    </w:p>
    <w:p w14:paraId="47225293"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Aguinis</w:t>
      </w:r>
      <w:proofErr w:type="spellEnd"/>
      <w:r w:rsidRPr="00C944EF">
        <w:rPr>
          <w:rFonts w:ascii="Times New Roman" w:hAnsi="Times New Roman" w:cs="Times New Roman"/>
          <w:sz w:val="24"/>
          <w:szCs w:val="24"/>
        </w:rPr>
        <w:t>, H., Gottfredson, R. K., &amp; Wright, T. A. (2011). Best-practice recommendations for estimating interaction effects using meta-analysis. </w:t>
      </w:r>
      <w:r w:rsidRPr="00C944EF">
        <w:rPr>
          <w:rFonts w:ascii="Times New Roman" w:hAnsi="Times New Roman" w:cs="Times New Roman"/>
          <w:i/>
          <w:iCs/>
          <w:sz w:val="24"/>
          <w:szCs w:val="24"/>
        </w:rPr>
        <w:t xml:space="preserve">Journal of Organizational </w:t>
      </w:r>
      <w:proofErr w:type="spellStart"/>
      <w:r w:rsidRPr="00C944EF">
        <w:rPr>
          <w:rFonts w:ascii="Times New Roman" w:hAnsi="Times New Roman" w:cs="Times New Roman"/>
          <w:i/>
          <w:iCs/>
          <w:sz w:val="24"/>
          <w:szCs w:val="24"/>
        </w:rPr>
        <w:t>Behavior</w:t>
      </w:r>
      <w:proofErr w:type="spellEnd"/>
      <w:r w:rsidRPr="00C944EF">
        <w:rPr>
          <w:rFonts w:ascii="Times New Roman" w:hAnsi="Times New Roman" w:cs="Times New Roman"/>
          <w:sz w:val="24"/>
          <w:szCs w:val="24"/>
        </w:rPr>
        <w:t>, 32(8), 1033-1043.</w:t>
      </w:r>
    </w:p>
    <w:p w14:paraId="0AC6A7A6"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AlJarah</w:t>
      </w:r>
      <w:proofErr w:type="spellEnd"/>
      <w:r w:rsidRPr="00C944EF">
        <w:rPr>
          <w:rFonts w:ascii="Times New Roman" w:hAnsi="Times New Roman" w:cs="Times New Roman"/>
          <w:sz w:val="24"/>
          <w:szCs w:val="24"/>
        </w:rPr>
        <w:t xml:space="preserve">, A., &amp; </w:t>
      </w:r>
      <w:proofErr w:type="spellStart"/>
      <w:r w:rsidRPr="00C944EF">
        <w:rPr>
          <w:rFonts w:ascii="Times New Roman" w:hAnsi="Times New Roman" w:cs="Times New Roman"/>
          <w:sz w:val="24"/>
          <w:szCs w:val="24"/>
        </w:rPr>
        <w:t>Emeagwali</w:t>
      </w:r>
      <w:proofErr w:type="spellEnd"/>
      <w:r w:rsidRPr="00C944EF">
        <w:rPr>
          <w:rFonts w:ascii="Times New Roman" w:hAnsi="Times New Roman" w:cs="Times New Roman"/>
          <w:sz w:val="24"/>
          <w:szCs w:val="24"/>
        </w:rPr>
        <w:t xml:space="preserve">, O. L. (2017). The impact of corporate social responsibility on the </w:t>
      </w:r>
      <w:proofErr w:type="spellStart"/>
      <w:r w:rsidRPr="00C944EF">
        <w:rPr>
          <w:rFonts w:ascii="Times New Roman" w:hAnsi="Times New Roman" w:cs="Times New Roman"/>
          <w:sz w:val="24"/>
          <w:szCs w:val="24"/>
        </w:rPr>
        <w:t>behavioral</w:t>
      </w:r>
      <w:proofErr w:type="spellEnd"/>
      <w:r w:rsidRPr="00C944EF">
        <w:rPr>
          <w:rFonts w:ascii="Times New Roman" w:hAnsi="Times New Roman" w:cs="Times New Roman"/>
          <w:sz w:val="24"/>
          <w:szCs w:val="24"/>
        </w:rPr>
        <w:t xml:space="preserve"> intention of customers: A meta-analytic examination. </w:t>
      </w:r>
      <w:r w:rsidRPr="00C944EF">
        <w:rPr>
          <w:rFonts w:ascii="Times New Roman" w:hAnsi="Times New Roman" w:cs="Times New Roman"/>
          <w:i/>
          <w:iCs/>
          <w:sz w:val="24"/>
          <w:szCs w:val="24"/>
        </w:rPr>
        <w:t>Journal of Strategic Marketing</w:t>
      </w:r>
      <w:r w:rsidRPr="00C944EF">
        <w:rPr>
          <w:rFonts w:ascii="Times New Roman" w:hAnsi="Times New Roman" w:cs="Times New Roman"/>
          <w:sz w:val="24"/>
          <w:szCs w:val="24"/>
        </w:rPr>
        <w:t>.</w:t>
      </w:r>
    </w:p>
    <w:p w14:paraId="021A4168"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Ashurov</w:t>
      </w:r>
      <w:proofErr w:type="spellEnd"/>
      <w:r w:rsidRPr="00C944EF">
        <w:rPr>
          <w:rFonts w:ascii="Times New Roman" w:hAnsi="Times New Roman" w:cs="Times New Roman"/>
          <w:sz w:val="24"/>
          <w:szCs w:val="24"/>
        </w:rPr>
        <w:t xml:space="preserve">, S., Othman, A. H. A., Rosman, R., &amp; </w:t>
      </w:r>
      <w:proofErr w:type="spellStart"/>
      <w:r w:rsidRPr="00C944EF">
        <w:rPr>
          <w:rFonts w:ascii="Times New Roman" w:hAnsi="Times New Roman" w:cs="Times New Roman"/>
          <w:sz w:val="24"/>
          <w:szCs w:val="24"/>
        </w:rPr>
        <w:t>Haron</w:t>
      </w:r>
      <w:proofErr w:type="spellEnd"/>
      <w:r w:rsidRPr="00C944EF">
        <w:rPr>
          <w:rFonts w:ascii="Times New Roman" w:hAnsi="Times New Roman" w:cs="Times New Roman"/>
          <w:sz w:val="24"/>
          <w:szCs w:val="24"/>
        </w:rPr>
        <w:t>, R. (2024). Evaluating corporate social responsibility in achieving sustainable development and enhancing financial performance. </w:t>
      </w:r>
      <w:r w:rsidRPr="00C944EF">
        <w:rPr>
          <w:rFonts w:ascii="Times New Roman" w:hAnsi="Times New Roman" w:cs="Times New Roman"/>
          <w:i/>
          <w:iCs/>
          <w:sz w:val="24"/>
          <w:szCs w:val="24"/>
        </w:rPr>
        <w:t>BRICS Journal of Economics</w:t>
      </w:r>
      <w:r w:rsidRPr="00C944EF">
        <w:rPr>
          <w:rFonts w:ascii="Times New Roman" w:hAnsi="Times New Roman" w:cs="Times New Roman"/>
          <w:sz w:val="24"/>
          <w:szCs w:val="24"/>
        </w:rPr>
        <w:t>, 5(2), 85-120.</w:t>
      </w:r>
    </w:p>
    <w:p w14:paraId="444BEBC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Barney, J. (1991). Firm resources and sustained competitive advantage. </w:t>
      </w:r>
      <w:r w:rsidRPr="00C944EF">
        <w:rPr>
          <w:rFonts w:ascii="Times New Roman" w:hAnsi="Times New Roman" w:cs="Times New Roman"/>
          <w:i/>
          <w:iCs/>
          <w:sz w:val="24"/>
          <w:szCs w:val="24"/>
        </w:rPr>
        <w:t>Journal of Management</w:t>
      </w:r>
      <w:r w:rsidRPr="00C944EF">
        <w:rPr>
          <w:rFonts w:ascii="Times New Roman" w:hAnsi="Times New Roman" w:cs="Times New Roman"/>
          <w:sz w:val="24"/>
          <w:szCs w:val="24"/>
        </w:rPr>
        <w:t>, 17(1), 99-120.</w:t>
      </w:r>
    </w:p>
    <w:p w14:paraId="2FA1FA15"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Basuony</w:t>
      </w:r>
      <w:proofErr w:type="spellEnd"/>
      <w:r w:rsidRPr="00C944EF">
        <w:rPr>
          <w:rFonts w:ascii="Times New Roman" w:hAnsi="Times New Roman" w:cs="Times New Roman"/>
          <w:sz w:val="24"/>
          <w:szCs w:val="24"/>
        </w:rPr>
        <w:t xml:space="preserve">, M. A. K., </w:t>
      </w:r>
      <w:proofErr w:type="spellStart"/>
      <w:r w:rsidRPr="00C944EF">
        <w:rPr>
          <w:rFonts w:ascii="Times New Roman" w:hAnsi="Times New Roman" w:cs="Times New Roman"/>
          <w:sz w:val="24"/>
          <w:szCs w:val="24"/>
        </w:rPr>
        <w:t>Elseidi</w:t>
      </w:r>
      <w:proofErr w:type="spellEnd"/>
      <w:r w:rsidRPr="00C944EF">
        <w:rPr>
          <w:rFonts w:ascii="Times New Roman" w:hAnsi="Times New Roman" w:cs="Times New Roman"/>
          <w:sz w:val="24"/>
          <w:szCs w:val="24"/>
        </w:rPr>
        <w:t>, R. I., &amp; Mohamed, E. K. A. (2014). The impact of corporate social responsibility on firm performance: Evidence from a MENA country. </w:t>
      </w:r>
      <w:r w:rsidRPr="00C944EF">
        <w:rPr>
          <w:rFonts w:ascii="Times New Roman" w:hAnsi="Times New Roman" w:cs="Times New Roman"/>
          <w:i/>
          <w:iCs/>
          <w:sz w:val="24"/>
          <w:szCs w:val="24"/>
        </w:rPr>
        <w:t xml:space="preserve">Virtus </w:t>
      </w:r>
      <w:proofErr w:type="spellStart"/>
      <w:r w:rsidRPr="00C944EF">
        <w:rPr>
          <w:rFonts w:ascii="Times New Roman" w:hAnsi="Times New Roman" w:cs="Times New Roman"/>
          <w:i/>
          <w:iCs/>
          <w:sz w:val="24"/>
          <w:szCs w:val="24"/>
        </w:rPr>
        <w:t>Interpress</w:t>
      </w:r>
      <w:proofErr w:type="spellEnd"/>
      <w:r w:rsidRPr="00C944EF">
        <w:rPr>
          <w:rFonts w:ascii="Times New Roman" w:hAnsi="Times New Roman" w:cs="Times New Roman"/>
          <w:sz w:val="24"/>
          <w:szCs w:val="24"/>
        </w:rPr>
        <w:t>.</w:t>
      </w:r>
    </w:p>
    <w:p w14:paraId="7403C39A"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Bordean</w:t>
      </w:r>
      <w:proofErr w:type="spellEnd"/>
      <w:r w:rsidRPr="00C944EF">
        <w:rPr>
          <w:rFonts w:ascii="Times New Roman" w:hAnsi="Times New Roman" w:cs="Times New Roman"/>
          <w:sz w:val="24"/>
          <w:szCs w:val="24"/>
        </w:rPr>
        <w:t xml:space="preserve">, O. N., Borza, A., </w:t>
      </w:r>
      <w:proofErr w:type="spellStart"/>
      <w:r w:rsidRPr="00C944EF">
        <w:rPr>
          <w:rFonts w:ascii="Times New Roman" w:hAnsi="Times New Roman" w:cs="Times New Roman"/>
          <w:sz w:val="24"/>
          <w:szCs w:val="24"/>
        </w:rPr>
        <w:t>Nistor</w:t>
      </w:r>
      <w:proofErr w:type="spellEnd"/>
      <w:r w:rsidRPr="00C944EF">
        <w:rPr>
          <w:rFonts w:ascii="Times New Roman" w:hAnsi="Times New Roman" w:cs="Times New Roman"/>
          <w:sz w:val="24"/>
          <w:szCs w:val="24"/>
        </w:rPr>
        <w:t>, R., &amp; Mitra, C. S. (2023). The interplay of strategy, corporate social responsibility and performance in Romanian companies. </w:t>
      </w:r>
      <w:proofErr w:type="spellStart"/>
      <w:r w:rsidRPr="00C944EF">
        <w:rPr>
          <w:rFonts w:ascii="Times New Roman" w:hAnsi="Times New Roman" w:cs="Times New Roman"/>
          <w:i/>
          <w:iCs/>
          <w:sz w:val="24"/>
          <w:szCs w:val="24"/>
        </w:rPr>
        <w:t>Kybernetes</w:t>
      </w:r>
      <w:proofErr w:type="spellEnd"/>
      <w:r w:rsidRPr="00C944EF">
        <w:rPr>
          <w:rFonts w:ascii="Times New Roman" w:hAnsi="Times New Roman" w:cs="Times New Roman"/>
          <w:sz w:val="24"/>
          <w:szCs w:val="24"/>
        </w:rPr>
        <w:t>.</w:t>
      </w:r>
    </w:p>
    <w:p w14:paraId="4F73F23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Carroll, A. B. (1991). The pyramid of corporate social responsibility: Toward the moral management of organizational stakeholders. </w:t>
      </w:r>
      <w:r w:rsidRPr="00C944EF">
        <w:rPr>
          <w:rFonts w:ascii="Times New Roman" w:hAnsi="Times New Roman" w:cs="Times New Roman"/>
          <w:i/>
          <w:iCs/>
          <w:sz w:val="24"/>
          <w:szCs w:val="24"/>
        </w:rPr>
        <w:t>Business Horizons</w:t>
      </w:r>
      <w:r w:rsidRPr="00C944EF">
        <w:rPr>
          <w:rFonts w:ascii="Times New Roman" w:hAnsi="Times New Roman" w:cs="Times New Roman"/>
          <w:sz w:val="24"/>
          <w:szCs w:val="24"/>
        </w:rPr>
        <w:t>, 34(4), 39-48.</w:t>
      </w:r>
    </w:p>
    <w:p w14:paraId="2E1F166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Crane, A., Matten, D., &amp; Spence, L. J. (2019). </w:t>
      </w:r>
      <w:r w:rsidRPr="00C944EF">
        <w:rPr>
          <w:rFonts w:ascii="Times New Roman" w:hAnsi="Times New Roman" w:cs="Times New Roman"/>
          <w:i/>
          <w:iCs/>
          <w:sz w:val="24"/>
          <w:szCs w:val="24"/>
        </w:rPr>
        <w:t>Corporate social responsibility: Readings and cases in a global context</w:t>
      </w:r>
      <w:r w:rsidRPr="00C944EF">
        <w:rPr>
          <w:rFonts w:ascii="Times New Roman" w:hAnsi="Times New Roman" w:cs="Times New Roman"/>
          <w:sz w:val="24"/>
          <w:szCs w:val="24"/>
        </w:rPr>
        <w:t>. Routledge.</w:t>
      </w:r>
    </w:p>
    <w:p w14:paraId="79AAFD4D"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Danbatta</w:t>
      </w:r>
      <w:proofErr w:type="spellEnd"/>
      <w:r w:rsidRPr="00C944EF">
        <w:rPr>
          <w:rFonts w:ascii="Times New Roman" w:hAnsi="Times New Roman" w:cs="Times New Roman"/>
          <w:sz w:val="24"/>
          <w:szCs w:val="24"/>
        </w:rPr>
        <w:t xml:space="preserve">, U. G. (2022). </w:t>
      </w:r>
      <w:proofErr w:type="gramStart"/>
      <w:r w:rsidRPr="00C944EF">
        <w:rPr>
          <w:rFonts w:ascii="Times New Roman" w:hAnsi="Times New Roman" w:cs="Times New Roman"/>
          <w:sz w:val="24"/>
          <w:szCs w:val="24"/>
        </w:rPr>
        <w:t>Telecoms</w:t>
      </w:r>
      <w:proofErr w:type="gramEnd"/>
      <w:r w:rsidRPr="00C944EF">
        <w:rPr>
          <w:rFonts w:ascii="Times New Roman" w:hAnsi="Times New Roman" w:cs="Times New Roman"/>
          <w:sz w:val="24"/>
          <w:szCs w:val="24"/>
        </w:rPr>
        <w:t xml:space="preserve"> sector employs 500,000, records $70bn investment. </w:t>
      </w:r>
      <w:r w:rsidRPr="00C944EF">
        <w:rPr>
          <w:rFonts w:ascii="Times New Roman" w:hAnsi="Times New Roman" w:cs="Times New Roman"/>
          <w:i/>
          <w:iCs/>
          <w:sz w:val="24"/>
          <w:szCs w:val="24"/>
        </w:rPr>
        <w:t>Punch Nigeria</w:t>
      </w:r>
      <w:r w:rsidRPr="00C944EF">
        <w:rPr>
          <w:rFonts w:ascii="Times New Roman" w:hAnsi="Times New Roman" w:cs="Times New Roman"/>
          <w:sz w:val="24"/>
          <w:szCs w:val="24"/>
        </w:rPr>
        <w:t>.</w:t>
      </w:r>
    </w:p>
    <w:p w14:paraId="2FC4604B"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Dmytriyev</w:t>
      </w:r>
      <w:proofErr w:type="spellEnd"/>
      <w:r w:rsidRPr="00C944EF">
        <w:rPr>
          <w:rFonts w:ascii="Times New Roman" w:hAnsi="Times New Roman" w:cs="Times New Roman"/>
          <w:sz w:val="24"/>
          <w:szCs w:val="24"/>
        </w:rPr>
        <w:t xml:space="preserve">, S. D., Freeman, R. E., &amp; </w:t>
      </w:r>
      <w:proofErr w:type="spellStart"/>
      <w:r w:rsidRPr="00C944EF">
        <w:rPr>
          <w:rFonts w:ascii="Times New Roman" w:hAnsi="Times New Roman" w:cs="Times New Roman"/>
          <w:sz w:val="24"/>
          <w:szCs w:val="24"/>
        </w:rPr>
        <w:t>Hörisch</w:t>
      </w:r>
      <w:proofErr w:type="spellEnd"/>
      <w:r w:rsidRPr="00C944EF">
        <w:rPr>
          <w:rFonts w:ascii="Times New Roman" w:hAnsi="Times New Roman" w:cs="Times New Roman"/>
          <w:sz w:val="24"/>
          <w:szCs w:val="24"/>
        </w:rPr>
        <w:t>, J. (2021). The relationship between stakeholder theory and corporate social responsibility: Differences, similarities, and implications for social issues in management. </w:t>
      </w:r>
      <w:r w:rsidRPr="00C944EF">
        <w:rPr>
          <w:rFonts w:ascii="Times New Roman" w:hAnsi="Times New Roman" w:cs="Times New Roman"/>
          <w:i/>
          <w:iCs/>
          <w:sz w:val="24"/>
          <w:szCs w:val="24"/>
        </w:rPr>
        <w:t>Journal of Management Studies</w:t>
      </w:r>
      <w:r w:rsidRPr="00C944EF">
        <w:rPr>
          <w:rFonts w:ascii="Times New Roman" w:hAnsi="Times New Roman" w:cs="Times New Roman"/>
          <w:sz w:val="24"/>
          <w:szCs w:val="24"/>
        </w:rPr>
        <w:t>, 58(6), 1441-1470.</w:t>
      </w:r>
    </w:p>
    <w:p w14:paraId="1BAEF7B0"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Echebiri</w:t>
      </w:r>
      <w:proofErr w:type="spellEnd"/>
      <w:r w:rsidRPr="00C944EF">
        <w:rPr>
          <w:rFonts w:ascii="Times New Roman" w:hAnsi="Times New Roman" w:cs="Times New Roman"/>
          <w:sz w:val="24"/>
          <w:szCs w:val="24"/>
        </w:rPr>
        <w:t>, E. (2021). Corporate social responsibility practices in Nigeria: Challenges and prospects. </w:t>
      </w:r>
      <w:r w:rsidRPr="00C944EF">
        <w:rPr>
          <w:rFonts w:ascii="Times New Roman" w:hAnsi="Times New Roman" w:cs="Times New Roman"/>
          <w:i/>
          <w:iCs/>
          <w:sz w:val="24"/>
          <w:szCs w:val="24"/>
        </w:rPr>
        <w:t>International Journal of Development and Sustainability</w:t>
      </w:r>
      <w:r w:rsidRPr="00C944EF">
        <w:rPr>
          <w:rFonts w:ascii="Times New Roman" w:hAnsi="Times New Roman" w:cs="Times New Roman"/>
          <w:sz w:val="24"/>
          <w:szCs w:val="24"/>
        </w:rPr>
        <w:t>.</w:t>
      </w:r>
    </w:p>
    <w:p w14:paraId="2260D7A2"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Ekwok, L., &amp; </w:t>
      </w:r>
      <w:proofErr w:type="spellStart"/>
      <w:r w:rsidRPr="00C944EF">
        <w:rPr>
          <w:rFonts w:ascii="Times New Roman" w:hAnsi="Times New Roman" w:cs="Times New Roman"/>
          <w:sz w:val="24"/>
          <w:szCs w:val="24"/>
        </w:rPr>
        <w:t>Ogri</w:t>
      </w:r>
      <w:proofErr w:type="spellEnd"/>
      <w:r w:rsidRPr="00C944EF">
        <w:rPr>
          <w:rFonts w:ascii="Times New Roman" w:hAnsi="Times New Roman" w:cs="Times New Roman"/>
          <w:sz w:val="24"/>
          <w:szCs w:val="24"/>
        </w:rPr>
        <w:t>, E. U. (2019). Assessing the CSR and community development programmes of Lafarge Africa Plc in Cross River State. </w:t>
      </w:r>
      <w:r w:rsidRPr="00C944EF">
        <w:rPr>
          <w:rFonts w:ascii="Times New Roman" w:hAnsi="Times New Roman" w:cs="Times New Roman"/>
          <w:i/>
          <w:iCs/>
          <w:sz w:val="24"/>
          <w:szCs w:val="24"/>
        </w:rPr>
        <w:t>International Journal of Academic Research in Business and Social Sciences</w:t>
      </w:r>
      <w:r w:rsidRPr="00C944EF">
        <w:rPr>
          <w:rFonts w:ascii="Times New Roman" w:hAnsi="Times New Roman" w:cs="Times New Roman"/>
          <w:sz w:val="24"/>
          <w:szCs w:val="24"/>
        </w:rPr>
        <w:t>, 9(7), 100-114.</w:t>
      </w:r>
    </w:p>
    <w:p w14:paraId="783D1A45"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Freeman, R. E. (1984). </w:t>
      </w:r>
      <w:r w:rsidRPr="00C944EF">
        <w:rPr>
          <w:rFonts w:ascii="Times New Roman" w:hAnsi="Times New Roman" w:cs="Times New Roman"/>
          <w:i/>
          <w:iCs/>
          <w:sz w:val="24"/>
          <w:szCs w:val="24"/>
        </w:rPr>
        <w:t>Strategic management: A stakeholder approach</w:t>
      </w:r>
      <w:r w:rsidRPr="00C944EF">
        <w:rPr>
          <w:rFonts w:ascii="Times New Roman" w:hAnsi="Times New Roman" w:cs="Times New Roman"/>
          <w:sz w:val="24"/>
          <w:szCs w:val="24"/>
        </w:rPr>
        <w:t>. Boston: Pitman.</w:t>
      </w:r>
    </w:p>
    <w:p w14:paraId="5B25C0A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Freeman, R. E., Harrison, J. S., Wicks, A. C., Parmar, B. L., &amp; De Colle, S. (2010). </w:t>
      </w:r>
      <w:r w:rsidRPr="00C944EF">
        <w:rPr>
          <w:rFonts w:ascii="Times New Roman" w:hAnsi="Times New Roman" w:cs="Times New Roman"/>
          <w:i/>
          <w:iCs/>
          <w:sz w:val="24"/>
          <w:szCs w:val="24"/>
        </w:rPr>
        <w:t>Stakeholder theory: The state of the art</w:t>
      </w:r>
      <w:r w:rsidRPr="00C944EF">
        <w:rPr>
          <w:rFonts w:ascii="Times New Roman" w:hAnsi="Times New Roman" w:cs="Times New Roman"/>
          <w:sz w:val="24"/>
          <w:szCs w:val="24"/>
        </w:rPr>
        <w:t>. Cambridge University Press.</w:t>
      </w:r>
    </w:p>
    <w:p w14:paraId="525C9C9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lastRenderedPageBreak/>
        <w:t>Friedman, M. (1970). The social responsibility of business is to increase its profits. </w:t>
      </w:r>
      <w:r w:rsidRPr="00C944EF">
        <w:rPr>
          <w:rFonts w:ascii="Times New Roman" w:hAnsi="Times New Roman" w:cs="Times New Roman"/>
          <w:i/>
          <w:iCs/>
          <w:sz w:val="24"/>
          <w:szCs w:val="24"/>
        </w:rPr>
        <w:t>The New York Times Magazine</w:t>
      </w:r>
      <w:r w:rsidRPr="00C944EF">
        <w:rPr>
          <w:rFonts w:ascii="Times New Roman" w:hAnsi="Times New Roman" w:cs="Times New Roman"/>
          <w:sz w:val="24"/>
          <w:szCs w:val="24"/>
        </w:rPr>
        <w:t>, September 13.</w:t>
      </w:r>
    </w:p>
    <w:p w14:paraId="45F0F3A0"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Garriga</w:t>
      </w:r>
      <w:proofErr w:type="spellEnd"/>
      <w:r w:rsidRPr="00C944EF">
        <w:rPr>
          <w:rFonts w:ascii="Times New Roman" w:hAnsi="Times New Roman" w:cs="Times New Roman"/>
          <w:sz w:val="24"/>
          <w:szCs w:val="24"/>
        </w:rPr>
        <w:t xml:space="preserve">, E., &amp; </w:t>
      </w:r>
      <w:proofErr w:type="spellStart"/>
      <w:r w:rsidRPr="00C944EF">
        <w:rPr>
          <w:rFonts w:ascii="Times New Roman" w:hAnsi="Times New Roman" w:cs="Times New Roman"/>
          <w:sz w:val="24"/>
          <w:szCs w:val="24"/>
        </w:rPr>
        <w:t>Melé</w:t>
      </w:r>
      <w:proofErr w:type="spellEnd"/>
      <w:r w:rsidRPr="00C944EF">
        <w:rPr>
          <w:rFonts w:ascii="Times New Roman" w:hAnsi="Times New Roman" w:cs="Times New Roman"/>
          <w:sz w:val="24"/>
          <w:szCs w:val="24"/>
        </w:rPr>
        <w:t>, D. (2004). Corporate social responsibility theories: Mapping the territory. </w:t>
      </w:r>
      <w:r w:rsidRPr="00C944EF">
        <w:rPr>
          <w:rFonts w:ascii="Times New Roman" w:hAnsi="Times New Roman" w:cs="Times New Roman"/>
          <w:i/>
          <w:iCs/>
          <w:sz w:val="24"/>
          <w:szCs w:val="24"/>
        </w:rPr>
        <w:t>Journal of Business Ethics</w:t>
      </w:r>
      <w:r w:rsidRPr="00C944EF">
        <w:rPr>
          <w:rFonts w:ascii="Times New Roman" w:hAnsi="Times New Roman" w:cs="Times New Roman"/>
          <w:sz w:val="24"/>
          <w:szCs w:val="24"/>
        </w:rPr>
        <w:t>, 53(1-2), 51-71.</w:t>
      </w:r>
    </w:p>
    <w:p w14:paraId="47BF0AA1"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Hieu</w:t>
      </w:r>
      <w:proofErr w:type="spellEnd"/>
      <w:r w:rsidRPr="00C944EF">
        <w:rPr>
          <w:rFonts w:ascii="Times New Roman" w:hAnsi="Times New Roman" w:cs="Times New Roman"/>
          <w:sz w:val="24"/>
          <w:szCs w:val="24"/>
        </w:rPr>
        <w:t>, P. D., &amp; Nwachukwu, C. (2019). Strategy and performance of telecommunications firms in Nigeria: An analysis of MTN Nigeria. </w:t>
      </w:r>
      <w:r w:rsidRPr="00C944EF">
        <w:rPr>
          <w:rFonts w:ascii="Times New Roman" w:hAnsi="Times New Roman" w:cs="Times New Roman"/>
          <w:i/>
          <w:iCs/>
          <w:sz w:val="24"/>
          <w:szCs w:val="24"/>
        </w:rPr>
        <w:t>Thunderbird International Business Review</w:t>
      </w:r>
      <w:r w:rsidRPr="00C944EF">
        <w:rPr>
          <w:rFonts w:ascii="Times New Roman" w:hAnsi="Times New Roman" w:cs="Times New Roman"/>
          <w:sz w:val="24"/>
          <w:szCs w:val="24"/>
        </w:rPr>
        <w:t>, 61(1), 35-48.</w:t>
      </w:r>
    </w:p>
    <w:p w14:paraId="0707A399"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Hur-Yagba</w:t>
      </w:r>
      <w:proofErr w:type="spellEnd"/>
      <w:r w:rsidRPr="00C944EF">
        <w:rPr>
          <w:rFonts w:ascii="Times New Roman" w:hAnsi="Times New Roman" w:cs="Times New Roman"/>
          <w:sz w:val="24"/>
          <w:szCs w:val="24"/>
        </w:rPr>
        <w:t xml:space="preserve">, A., &amp; </w:t>
      </w:r>
      <w:proofErr w:type="spellStart"/>
      <w:r w:rsidRPr="00C944EF">
        <w:rPr>
          <w:rFonts w:ascii="Times New Roman" w:hAnsi="Times New Roman" w:cs="Times New Roman"/>
          <w:sz w:val="24"/>
          <w:szCs w:val="24"/>
        </w:rPr>
        <w:t>Enngo</w:t>
      </w:r>
      <w:proofErr w:type="spellEnd"/>
      <w:r w:rsidRPr="00C944EF">
        <w:rPr>
          <w:rFonts w:ascii="Times New Roman" w:hAnsi="Times New Roman" w:cs="Times New Roman"/>
          <w:sz w:val="24"/>
          <w:szCs w:val="24"/>
        </w:rPr>
        <w:t>, S. (2021). Appraisal of corporate social responsibility programmes of Mobile Telecommunication Network (MTN) Nigeria. </w:t>
      </w:r>
      <w:r w:rsidRPr="00C944EF">
        <w:rPr>
          <w:rFonts w:ascii="Times New Roman" w:hAnsi="Times New Roman" w:cs="Times New Roman"/>
          <w:i/>
          <w:iCs/>
          <w:sz w:val="24"/>
          <w:szCs w:val="24"/>
        </w:rPr>
        <w:t>International Journal of Emerging Trends in Multidisciplinary Research</w:t>
      </w:r>
      <w:r w:rsidRPr="00C944EF">
        <w:rPr>
          <w:rFonts w:ascii="Times New Roman" w:hAnsi="Times New Roman" w:cs="Times New Roman"/>
          <w:sz w:val="24"/>
          <w:szCs w:val="24"/>
        </w:rPr>
        <w:t>, 8(2), 1-12.</w:t>
      </w:r>
    </w:p>
    <w:p w14:paraId="4B1BE7A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Khan, M., Lockhart, J., &amp; Bathurst, R. (2021). The institutional analysis of CSR: Learnings from an emerging country. </w:t>
      </w:r>
      <w:r w:rsidRPr="00C944EF">
        <w:rPr>
          <w:rFonts w:ascii="Times New Roman" w:hAnsi="Times New Roman" w:cs="Times New Roman"/>
          <w:i/>
          <w:iCs/>
          <w:sz w:val="24"/>
          <w:szCs w:val="24"/>
        </w:rPr>
        <w:t>Sustainability Accounting, Management and Policy Journal</w:t>
      </w:r>
      <w:r w:rsidRPr="00C944EF">
        <w:rPr>
          <w:rFonts w:ascii="Times New Roman" w:hAnsi="Times New Roman" w:cs="Times New Roman"/>
          <w:sz w:val="24"/>
          <w:szCs w:val="24"/>
        </w:rPr>
        <w:t>, 12(4), 734-762.</w:t>
      </w:r>
    </w:p>
    <w:p w14:paraId="08926E3A"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Li, W., Zhang, R., &amp; Zhao, S. (2025). Corporate social responsibility and financial performance: A meta-analysis. </w:t>
      </w:r>
      <w:r w:rsidRPr="00C944EF">
        <w:rPr>
          <w:rFonts w:ascii="Times New Roman" w:hAnsi="Times New Roman" w:cs="Times New Roman"/>
          <w:i/>
          <w:iCs/>
          <w:sz w:val="24"/>
          <w:szCs w:val="24"/>
        </w:rPr>
        <w:t>Journal of Business Ethics</w:t>
      </w:r>
      <w:r w:rsidRPr="00C944EF">
        <w:rPr>
          <w:rFonts w:ascii="Times New Roman" w:hAnsi="Times New Roman" w:cs="Times New Roman"/>
          <w:sz w:val="24"/>
          <w:szCs w:val="24"/>
        </w:rPr>
        <w:t>, 180(1), 1-28.</w:t>
      </w:r>
    </w:p>
    <w:p w14:paraId="749B4CE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Margolis, J. D., </w:t>
      </w:r>
      <w:proofErr w:type="spellStart"/>
      <w:r w:rsidRPr="00C944EF">
        <w:rPr>
          <w:rFonts w:ascii="Times New Roman" w:hAnsi="Times New Roman" w:cs="Times New Roman"/>
          <w:sz w:val="24"/>
          <w:szCs w:val="24"/>
        </w:rPr>
        <w:t>Elfenbein</w:t>
      </w:r>
      <w:proofErr w:type="spellEnd"/>
      <w:r w:rsidRPr="00C944EF">
        <w:rPr>
          <w:rFonts w:ascii="Times New Roman" w:hAnsi="Times New Roman" w:cs="Times New Roman"/>
          <w:sz w:val="24"/>
          <w:szCs w:val="24"/>
        </w:rPr>
        <w:t>, H. A., &amp; Walsh, J. P. (2009). Does it pay to be good... and does it matter? A meta-analysis of the relationship between corporate social and financial performance. </w:t>
      </w:r>
      <w:r w:rsidRPr="00C944EF">
        <w:rPr>
          <w:rFonts w:ascii="Times New Roman" w:hAnsi="Times New Roman" w:cs="Times New Roman"/>
          <w:i/>
          <w:iCs/>
          <w:sz w:val="24"/>
          <w:szCs w:val="24"/>
        </w:rPr>
        <w:t>SSRN Electronic Journal</w:t>
      </w:r>
      <w:r w:rsidRPr="00C944EF">
        <w:rPr>
          <w:rFonts w:ascii="Times New Roman" w:hAnsi="Times New Roman" w:cs="Times New Roman"/>
          <w:sz w:val="24"/>
          <w:szCs w:val="24"/>
        </w:rPr>
        <w:t>.</w:t>
      </w:r>
    </w:p>
    <w:p w14:paraId="04E2561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Marquis, C., &amp; </w:t>
      </w:r>
      <w:proofErr w:type="spellStart"/>
      <w:r w:rsidRPr="00C944EF">
        <w:rPr>
          <w:rFonts w:ascii="Times New Roman" w:hAnsi="Times New Roman" w:cs="Times New Roman"/>
          <w:sz w:val="24"/>
          <w:szCs w:val="24"/>
        </w:rPr>
        <w:t>Raynard</w:t>
      </w:r>
      <w:proofErr w:type="spellEnd"/>
      <w:r w:rsidRPr="00C944EF">
        <w:rPr>
          <w:rFonts w:ascii="Times New Roman" w:hAnsi="Times New Roman" w:cs="Times New Roman"/>
          <w:sz w:val="24"/>
          <w:szCs w:val="24"/>
        </w:rPr>
        <w:t>, M. (2015). Institutional strategies in emerging markets. </w:t>
      </w:r>
      <w:r w:rsidRPr="00C944EF">
        <w:rPr>
          <w:rFonts w:ascii="Times New Roman" w:hAnsi="Times New Roman" w:cs="Times New Roman"/>
          <w:i/>
          <w:iCs/>
          <w:sz w:val="24"/>
          <w:szCs w:val="24"/>
        </w:rPr>
        <w:t>Academy of Management Annals</w:t>
      </w:r>
      <w:r w:rsidRPr="00C944EF">
        <w:rPr>
          <w:rFonts w:ascii="Times New Roman" w:hAnsi="Times New Roman" w:cs="Times New Roman"/>
          <w:sz w:val="24"/>
          <w:szCs w:val="24"/>
        </w:rPr>
        <w:t>, 9(1), 291-335.</w:t>
      </w:r>
    </w:p>
    <w:p w14:paraId="7A0CB8B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Maury, B. (2022). Strategic CSR and firm performance: The role of prospector and defender strategies. </w:t>
      </w:r>
      <w:r w:rsidRPr="00C944EF">
        <w:rPr>
          <w:rFonts w:ascii="Times New Roman" w:hAnsi="Times New Roman" w:cs="Times New Roman"/>
          <w:i/>
          <w:iCs/>
          <w:sz w:val="24"/>
          <w:szCs w:val="24"/>
        </w:rPr>
        <w:t>Journal of Economics and Business</w:t>
      </w:r>
      <w:r w:rsidRPr="00C944EF">
        <w:rPr>
          <w:rFonts w:ascii="Times New Roman" w:hAnsi="Times New Roman" w:cs="Times New Roman"/>
          <w:sz w:val="24"/>
          <w:szCs w:val="24"/>
        </w:rPr>
        <w:t>, 118, 106-130.</w:t>
      </w:r>
    </w:p>
    <w:p w14:paraId="55165B6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Foundation. (2022). </w:t>
      </w:r>
      <w:r w:rsidRPr="00C944EF">
        <w:rPr>
          <w:rFonts w:ascii="Times New Roman" w:hAnsi="Times New Roman" w:cs="Times New Roman"/>
          <w:i/>
          <w:iCs/>
          <w:sz w:val="24"/>
          <w:szCs w:val="24"/>
        </w:rPr>
        <w:t>Annual report on corporate social investment programmes</w:t>
      </w:r>
      <w:r w:rsidRPr="00C944EF">
        <w:rPr>
          <w:rFonts w:ascii="Times New Roman" w:hAnsi="Times New Roman" w:cs="Times New Roman"/>
          <w:sz w:val="24"/>
          <w:szCs w:val="24"/>
        </w:rPr>
        <w:t>. Lagos: MTN Nigeria Communications Plc.</w:t>
      </w:r>
    </w:p>
    <w:p w14:paraId="55BE71FD"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Group Limited. (2024). </w:t>
      </w:r>
      <w:r w:rsidRPr="00C944EF">
        <w:rPr>
          <w:rFonts w:ascii="Times New Roman" w:hAnsi="Times New Roman" w:cs="Times New Roman"/>
          <w:i/>
          <w:iCs/>
          <w:sz w:val="24"/>
          <w:szCs w:val="24"/>
        </w:rPr>
        <w:t>FY 2024 tax transparency report</w:t>
      </w:r>
      <w:r w:rsidRPr="00C944EF">
        <w:rPr>
          <w:rFonts w:ascii="Times New Roman" w:hAnsi="Times New Roman" w:cs="Times New Roman"/>
          <w:sz w:val="24"/>
          <w:szCs w:val="24"/>
        </w:rPr>
        <w:t>. Johannesburg: MTN Group.</w:t>
      </w:r>
    </w:p>
    <w:p w14:paraId="0627C76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Nigeria Communications Plc. (2024). </w:t>
      </w:r>
      <w:r w:rsidRPr="00C944EF">
        <w:rPr>
          <w:rFonts w:ascii="Times New Roman" w:hAnsi="Times New Roman" w:cs="Times New Roman"/>
          <w:i/>
          <w:iCs/>
          <w:sz w:val="24"/>
          <w:szCs w:val="24"/>
        </w:rPr>
        <w:t>2024 sustainability report</w:t>
      </w:r>
      <w:r w:rsidRPr="00C944EF">
        <w:rPr>
          <w:rFonts w:ascii="Times New Roman" w:hAnsi="Times New Roman" w:cs="Times New Roman"/>
          <w:sz w:val="24"/>
          <w:szCs w:val="24"/>
        </w:rPr>
        <w:t>. Lagos: MTN Nigeria Communications Plc.</w:t>
      </w:r>
    </w:p>
    <w:p w14:paraId="3F18D797"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MTN Nigeria Communications Plc. (2025). </w:t>
      </w:r>
      <w:r w:rsidRPr="00C944EF">
        <w:rPr>
          <w:rFonts w:ascii="Times New Roman" w:hAnsi="Times New Roman" w:cs="Times New Roman"/>
          <w:i/>
          <w:iCs/>
          <w:sz w:val="24"/>
          <w:szCs w:val="24"/>
        </w:rPr>
        <w:t>Facts behind the sustainability report</w:t>
      </w:r>
      <w:r w:rsidRPr="00C944EF">
        <w:rPr>
          <w:rFonts w:ascii="Times New Roman" w:hAnsi="Times New Roman" w:cs="Times New Roman"/>
          <w:sz w:val="24"/>
          <w:szCs w:val="24"/>
        </w:rPr>
        <w:t>. Presented at Nigerian Exchange Group House, Lagos, May 9, 2025.</w:t>
      </w:r>
    </w:p>
    <w:p w14:paraId="37137F4B"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Muthuri</w:t>
      </w:r>
      <w:proofErr w:type="spellEnd"/>
      <w:r w:rsidRPr="00C944EF">
        <w:rPr>
          <w:rFonts w:ascii="Times New Roman" w:hAnsi="Times New Roman" w:cs="Times New Roman"/>
          <w:sz w:val="24"/>
          <w:szCs w:val="24"/>
        </w:rPr>
        <w:t>, J. N., &amp; Gilbert, V. (2011). An institutional analysis of corporate social responsibility in Kenya. </w:t>
      </w:r>
      <w:r w:rsidRPr="00C944EF">
        <w:rPr>
          <w:rFonts w:ascii="Times New Roman" w:hAnsi="Times New Roman" w:cs="Times New Roman"/>
          <w:i/>
          <w:iCs/>
          <w:sz w:val="24"/>
          <w:szCs w:val="24"/>
        </w:rPr>
        <w:t>Journal of Business Ethics</w:t>
      </w:r>
      <w:r w:rsidRPr="00C944EF">
        <w:rPr>
          <w:rFonts w:ascii="Times New Roman" w:hAnsi="Times New Roman" w:cs="Times New Roman"/>
          <w:sz w:val="24"/>
          <w:szCs w:val="24"/>
        </w:rPr>
        <w:t>, 98(3), 467-483.</w:t>
      </w:r>
    </w:p>
    <w:p w14:paraId="02072602"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National Bureau of Statistics. (2023). </w:t>
      </w:r>
      <w:r w:rsidRPr="00C944EF">
        <w:rPr>
          <w:rFonts w:ascii="Times New Roman" w:hAnsi="Times New Roman" w:cs="Times New Roman"/>
          <w:i/>
          <w:iCs/>
          <w:sz w:val="24"/>
          <w:szCs w:val="24"/>
        </w:rPr>
        <w:t>Nigerian gross domestic product report Q1 2023</w:t>
      </w:r>
      <w:r w:rsidRPr="00C944EF">
        <w:rPr>
          <w:rFonts w:ascii="Times New Roman" w:hAnsi="Times New Roman" w:cs="Times New Roman"/>
          <w:sz w:val="24"/>
          <w:szCs w:val="24"/>
        </w:rPr>
        <w:t>. Abuja: NBS.</w:t>
      </w:r>
    </w:p>
    <w:p w14:paraId="6749D252"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Nigerian Communications Commission. (2023). </w:t>
      </w:r>
      <w:r w:rsidRPr="00C944EF">
        <w:rPr>
          <w:rFonts w:ascii="Times New Roman" w:hAnsi="Times New Roman" w:cs="Times New Roman"/>
          <w:i/>
          <w:iCs/>
          <w:sz w:val="24"/>
          <w:szCs w:val="24"/>
        </w:rPr>
        <w:t>Quarterly subscriber/network data report Q4 2022</w:t>
      </w:r>
      <w:r w:rsidRPr="00C944EF">
        <w:rPr>
          <w:rFonts w:ascii="Times New Roman" w:hAnsi="Times New Roman" w:cs="Times New Roman"/>
          <w:sz w:val="24"/>
          <w:szCs w:val="24"/>
        </w:rPr>
        <w:t>. Abuja: NCC.</w:t>
      </w:r>
    </w:p>
    <w:p w14:paraId="16168B74"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Nigerian Communications Commission. (2024). </w:t>
      </w:r>
      <w:r w:rsidRPr="00C944EF">
        <w:rPr>
          <w:rFonts w:ascii="Times New Roman" w:hAnsi="Times New Roman" w:cs="Times New Roman"/>
          <w:i/>
          <w:iCs/>
          <w:sz w:val="24"/>
          <w:szCs w:val="24"/>
        </w:rPr>
        <w:t>Compliance monitoring and enforcement report Q1 2020</w:t>
      </w:r>
      <w:r w:rsidRPr="00C944EF">
        <w:rPr>
          <w:rFonts w:ascii="Times New Roman" w:hAnsi="Times New Roman" w:cs="Times New Roman"/>
          <w:sz w:val="24"/>
          <w:szCs w:val="24"/>
        </w:rPr>
        <w:t>. Abuja: NCC.</w:t>
      </w:r>
    </w:p>
    <w:p w14:paraId="79F0AEB0"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lastRenderedPageBreak/>
        <w:t>Nikolova</w:t>
      </w:r>
      <w:proofErr w:type="spellEnd"/>
      <w:r w:rsidRPr="00C944EF">
        <w:rPr>
          <w:rFonts w:ascii="Times New Roman" w:hAnsi="Times New Roman" w:cs="Times New Roman"/>
          <w:sz w:val="24"/>
          <w:szCs w:val="24"/>
        </w:rPr>
        <w:t xml:space="preserve">, V., &amp; </w:t>
      </w:r>
      <w:proofErr w:type="spellStart"/>
      <w:r w:rsidRPr="00C944EF">
        <w:rPr>
          <w:rFonts w:ascii="Times New Roman" w:hAnsi="Times New Roman" w:cs="Times New Roman"/>
          <w:sz w:val="24"/>
          <w:szCs w:val="24"/>
        </w:rPr>
        <w:t>Arsić</w:t>
      </w:r>
      <w:proofErr w:type="spellEnd"/>
      <w:r w:rsidRPr="00C944EF">
        <w:rPr>
          <w:rFonts w:ascii="Times New Roman" w:hAnsi="Times New Roman" w:cs="Times New Roman"/>
          <w:sz w:val="24"/>
          <w:szCs w:val="24"/>
        </w:rPr>
        <w:t>, S. (2017). The stakeholder approach in corporate social responsibility. </w:t>
      </w:r>
      <w:r w:rsidRPr="00C944EF">
        <w:rPr>
          <w:rFonts w:ascii="Times New Roman" w:hAnsi="Times New Roman" w:cs="Times New Roman"/>
          <w:i/>
          <w:iCs/>
          <w:sz w:val="24"/>
          <w:szCs w:val="24"/>
        </w:rPr>
        <w:t>Engineering Management</w:t>
      </w:r>
      <w:r w:rsidRPr="00C944EF">
        <w:rPr>
          <w:rFonts w:ascii="Times New Roman" w:hAnsi="Times New Roman" w:cs="Times New Roman"/>
          <w:sz w:val="24"/>
          <w:szCs w:val="24"/>
        </w:rPr>
        <w:t>, 3(1), 24-35.</w:t>
      </w:r>
    </w:p>
    <w:p w14:paraId="216A961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Oduro, S., </w:t>
      </w:r>
      <w:proofErr w:type="spellStart"/>
      <w:r w:rsidRPr="00C944EF">
        <w:rPr>
          <w:rFonts w:ascii="Times New Roman" w:hAnsi="Times New Roman" w:cs="Times New Roman"/>
          <w:sz w:val="24"/>
          <w:szCs w:val="24"/>
        </w:rPr>
        <w:t>Maccario</w:t>
      </w:r>
      <w:proofErr w:type="spellEnd"/>
      <w:r w:rsidRPr="00C944EF">
        <w:rPr>
          <w:rFonts w:ascii="Times New Roman" w:hAnsi="Times New Roman" w:cs="Times New Roman"/>
          <w:sz w:val="24"/>
          <w:szCs w:val="24"/>
        </w:rPr>
        <w:t xml:space="preserve">, G., &amp; De </w:t>
      </w:r>
      <w:proofErr w:type="spellStart"/>
      <w:r w:rsidRPr="00C944EF">
        <w:rPr>
          <w:rFonts w:ascii="Times New Roman" w:hAnsi="Times New Roman" w:cs="Times New Roman"/>
          <w:sz w:val="24"/>
          <w:szCs w:val="24"/>
        </w:rPr>
        <w:t>Nisco</w:t>
      </w:r>
      <w:proofErr w:type="spellEnd"/>
      <w:r w:rsidRPr="00C944EF">
        <w:rPr>
          <w:rFonts w:ascii="Times New Roman" w:hAnsi="Times New Roman" w:cs="Times New Roman"/>
          <w:sz w:val="24"/>
          <w:szCs w:val="24"/>
        </w:rPr>
        <w:t>, A. (2025). Corporate social responsibility and family firm performance: A meta-analytic review. </w:t>
      </w:r>
      <w:r w:rsidRPr="00C944EF">
        <w:rPr>
          <w:rFonts w:ascii="Times New Roman" w:hAnsi="Times New Roman" w:cs="Times New Roman"/>
          <w:i/>
          <w:iCs/>
          <w:sz w:val="24"/>
          <w:szCs w:val="24"/>
        </w:rPr>
        <w:t>Journal of Family Business Strategy</w:t>
      </w:r>
      <w:r w:rsidRPr="00C944EF">
        <w:rPr>
          <w:rFonts w:ascii="Times New Roman" w:hAnsi="Times New Roman" w:cs="Times New Roman"/>
          <w:sz w:val="24"/>
          <w:szCs w:val="24"/>
        </w:rPr>
        <w:t>, 16(1), 100-128.</w:t>
      </w:r>
    </w:p>
    <w:p w14:paraId="110BD50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Ogunleye, O., Okpala, O., &amp; </w:t>
      </w:r>
      <w:proofErr w:type="spellStart"/>
      <w:r w:rsidRPr="00C944EF">
        <w:rPr>
          <w:rFonts w:ascii="Times New Roman" w:hAnsi="Times New Roman" w:cs="Times New Roman"/>
          <w:sz w:val="24"/>
          <w:szCs w:val="24"/>
        </w:rPr>
        <w:t>Emdin</w:t>
      </w:r>
      <w:proofErr w:type="spellEnd"/>
      <w:r w:rsidRPr="00C944EF">
        <w:rPr>
          <w:rFonts w:ascii="Times New Roman" w:hAnsi="Times New Roman" w:cs="Times New Roman"/>
          <w:sz w:val="24"/>
          <w:szCs w:val="24"/>
        </w:rPr>
        <w:t>, O. (2018). An empirical assessment of the relationship between corporate social responsibility and corporate financial performance among listed firms in Nigeria. </w:t>
      </w:r>
      <w:r w:rsidRPr="00C944EF">
        <w:rPr>
          <w:rFonts w:ascii="Times New Roman" w:hAnsi="Times New Roman" w:cs="Times New Roman"/>
          <w:i/>
          <w:iCs/>
          <w:sz w:val="24"/>
          <w:szCs w:val="24"/>
        </w:rPr>
        <w:t>Nigerian Journal of Management Studies</w:t>
      </w:r>
      <w:r w:rsidRPr="00C944EF">
        <w:rPr>
          <w:rFonts w:ascii="Times New Roman" w:hAnsi="Times New Roman" w:cs="Times New Roman"/>
          <w:sz w:val="24"/>
          <w:szCs w:val="24"/>
        </w:rPr>
        <w:t>, 18(1), 64-74.</w:t>
      </w:r>
    </w:p>
    <w:p w14:paraId="0DF858FE"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Phillips, R. (2003). </w:t>
      </w:r>
      <w:r w:rsidRPr="00C944EF">
        <w:rPr>
          <w:rFonts w:ascii="Times New Roman" w:hAnsi="Times New Roman" w:cs="Times New Roman"/>
          <w:i/>
          <w:iCs/>
          <w:sz w:val="24"/>
          <w:szCs w:val="24"/>
        </w:rPr>
        <w:t>Stakeholder theory and organizational ethics</w:t>
      </w:r>
      <w:r w:rsidRPr="00C944EF">
        <w:rPr>
          <w:rFonts w:ascii="Times New Roman" w:hAnsi="Times New Roman" w:cs="Times New Roman"/>
          <w:sz w:val="24"/>
          <w:szCs w:val="24"/>
        </w:rPr>
        <w:t>. San Francisco: Berrett-Koehler Publishers.</w:t>
      </w:r>
    </w:p>
    <w:p w14:paraId="0B7ACDE3"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Porter, M. E. (1980). </w:t>
      </w:r>
      <w:r w:rsidRPr="00C944EF">
        <w:rPr>
          <w:rFonts w:ascii="Times New Roman" w:hAnsi="Times New Roman" w:cs="Times New Roman"/>
          <w:i/>
          <w:iCs/>
          <w:sz w:val="24"/>
          <w:szCs w:val="24"/>
        </w:rPr>
        <w:t xml:space="preserve">Competitive strategy: Techniques for </w:t>
      </w:r>
      <w:proofErr w:type="spellStart"/>
      <w:r w:rsidRPr="00C944EF">
        <w:rPr>
          <w:rFonts w:ascii="Times New Roman" w:hAnsi="Times New Roman" w:cs="Times New Roman"/>
          <w:i/>
          <w:iCs/>
          <w:sz w:val="24"/>
          <w:szCs w:val="24"/>
        </w:rPr>
        <w:t>analyzing</w:t>
      </w:r>
      <w:proofErr w:type="spellEnd"/>
      <w:r w:rsidRPr="00C944EF">
        <w:rPr>
          <w:rFonts w:ascii="Times New Roman" w:hAnsi="Times New Roman" w:cs="Times New Roman"/>
          <w:i/>
          <w:iCs/>
          <w:sz w:val="24"/>
          <w:szCs w:val="24"/>
        </w:rPr>
        <w:t xml:space="preserve"> industries and competitors</w:t>
      </w:r>
      <w:r w:rsidRPr="00C944EF">
        <w:rPr>
          <w:rFonts w:ascii="Times New Roman" w:hAnsi="Times New Roman" w:cs="Times New Roman"/>
          <w:sz w:val="24"/>
          <w:szCs w:val="24"/>
        </w:rPr>
        <w:t>. New York: Free Press.</w:t>
      </w:r>
    </w:p>
    <w:p w14:paraId="0139272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Porter, M. E., &amp; Kramer, M. R. (2006). Strategy and society: The link between competitive advantage and corporate social responsibility. </w:t>
      </w:r>
      <w:r w:rsidRPr="00C944EF">
        <w:rPr>
          <w:rFonts w:ascii="Times New Roman" w:hAnsi="Times New Roman" w:cs="Times New Roman"/>
          <w:i/>
          <w:iCs/>
          <w:sz w:val="24"/>
          <w:szCs w:val="24"/>
        </w:rPr>
        <w:t>Harvard Business Review</w:t>
      </w:r>
      <w:r w:rsidRPr="00C944EF">
        <w:rPr>
          <w:rFonts w:ascii="Times New Roman" w:hAnsi="Times New Roman" w:cs="Times New Roman"/>
          <w:sz w:val="24"/>
          <w:szCs w:val="24"/>
        </w:rPr>
        <w:t>, 84(12), 78-92.</w:t>
      </w:r>
    </w:p>
    <w:p w14:paraId="089ED02B"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Rajput, N., Batra, G., &amp; Pathak, R. (2012). Linking CSR and financial performance: An empirical examination. </w:t>
      </w:r>
      <w:r w:rsidRPr="00C944EF">
        <w:rPr>
          <w:rFonts w:ascii="Times New Roman" w:hAnsi="Times New Roman" w:cs="Times New Roman"/>
          <w:i/>
          <w:iCs/>
          <w:sz w:val="24"/>
          <w:szCs w:val="24"/>
        </w:rPr>
        <w:t>International Journal of Business Management and Economic Research</w:t>
      </w:r>
      <w:r w:rsidRPr="00C944EF">
        <w:rPr>
          <w:rFonts w:ascii="Times New Roman" w:hAnsi="Times New Roman" w:cs="Times New Roman"/>
          <w:sz w:val="24"/>
          <w:szCs w:val="24"/>
        </w:rPr>
        <w:t>, 3(6), 1-8.</w:t>
      </w:r>
    </w:p>
    <w:p w14:paraId="4FA4B76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Rehman, F. U., Sharmila, M. A., &amp; Nivedita, P. (2024). The role of corporate social responsibility in enhancing stakeholder engagement and business outcomes: An empirical study. </w:t>
      </w:r>
      <w:r w:rsidRPr="00C944EF">
        <w:rPr>
          <w:rFonts w:ascii="Times New Roman" w:hAnsi="Times New Roman" w:cs="Times New Roman"/>
          <w:i/>
          <w:iCs/>
          <w:sz w:val="24"/>
          <w:szCs w:val="24"/>
        </w:rPr>
        <w:t>REST Journal on Emerging Trends in Modelling and Manufacturing</w:t>
      </w:r>
      <w:r w:rsidRPr="00C944EF">
        <w:rPr>
          <w:rFonts w:ascii="Times New Roman" w:hAnsi="Times New Roman" w:cs="Times New Roman"/>
          <w:sz w:val="24"/>
          <w:szCs w:val="24"/>
        </w:rPr>
        <w:t>, 10(4), 10-12.</w:t>
      </w:r>
    </w:p>
    <w:p w14:paraId="7D1D793E"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Risi</w:t>
      </w:r>
      <w:proofErr w:type="spellEnd"/>
      <w:r w:rsidRPr="00C944EF">
        <w:rPr>
          <w:rFonts w:ascii="Times New Roman" w:hAnsi="Times New Roman" w:cs="Times New Roman"/>
          <w:sz w:val="24"/>
          <w:szCs w:val="24"/>
        </w:rPr>
        <w:t xml:space="preserve">, D., &amp; </w:t>
      </w:r>
      <w:proofErr w:type="spellStart"/>
      <w:r w:rsidRPr="00C944EF">
        <w:rPr>
          <w:rFonts w:ascii="Times New Roman" w:hAnsi="Times New Roman" w:cs="Times New Roman"/>
          <w:sz w:val="24"/>
          <w:szCs w:val="24"/>
        </w:rPr>
        <w:t>Wickert</w:t>
      </w:r>
      <w:proofErr w:type="spellEnd"/>
      <w:r w:rsidRPr="00C944EF">
        <w:rPr>
          <w:rFonts w:ascii="Times New Roman" w:hAnsi="Times New Roman" w:cs="Times New Roman"/>
          <w:sz w:val="24"/>
          <w:szCs w:val="24"/>
        </w:rPr>
        <w:t>, C. (2023). Institutional theory-based research on corporate social responsibility: Bringing values back in. </w:t>
      </w:r>
      <w:r w:rsidRPr="00C944EF">
        <w:rPr>
          <w:rFonts w:ascii="Times New Roman" w:hAnsi="Times New Roman" w:cs="Times New Roman"/>
          <w:i/>
          <w:iCs/>
          <w:sz w:val="24"/>
          <w:szCs w:val="24"/>
        </w:rPr>
        <w:t>International Journal of Management Reviews</w:t>
      </w:r>
      <w:r w:rsidRPr="00C944EF">
        <w:rPr>
          <w:rFonts w:ascii="Times New Roman" w:hAnsi="Times New Roman" w:cs="Times New Roman"/>
          <w:sz w:val="24"/>
          <w:szCs w:val="24"/>
        </w:rPr>
        <w:t>, 25(1), 3-23.</w:t>
      </w:r>
    </w:p>
    <w:p w14:paraId="6EC1414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Santini, F. D. O., Sampaio, C. H., </w:t>
      </w:r>
      <w:proofErr w:type="spellStart"/>
      <w:r w:rsidRPr="00C944EF">
        <w:rPr>
          <w:rFonts w:ascii="Times New Roman" w:hAnsi="Times New Roman" w:cs="Times New Roman"/>
          <w:sz w:val="24"/>
          <w:szCs w:val="24"/>
        </w:rPr>
        <w:t>Perin</w:t>
      </w:r>
      <w:proofErr w:type="spellEnd"/>
      <w:r w:rsidRPr="00C944EF">
        <w:rPr>
          <w:rFonts w:ascii="Times New Roman" w:hAnsi="Times New Roman" w:cs="Times New Roman"/>
          <w:sz w:val="24"/>
          <w:szCs w:val="24"/>
        </w:rPr>
        <w:t>, M. G., &amp; Vieira, V. A. (2021). A meta-analytical study of the effects of CSR on company performance. </w:t>
      </w:r>
      <w:r w:rsidRPr="00C944EF">
        <w:rPr>
          <w:rFonts w:ascii="Times New Roman" w:hAnsi="Times New Roman" w:cs="Times New Roman"/>
          <w:i/>
          <w:iCs/>
          <w:sz w:val="24"/>
          <w:szCs w:val="24"/>
        </w:rPr>
        <w:t>Journal of Marketing Management</w:t>
      </w:r>
      <w:r w:rsidRPr="00C944EF">
        <w:rPr>
          <w:rFonts w:ascii="Times New Roman" w:hAnsi="Times New Roman" w:cs="Times New Roman"/>
          <w:sz w:val="24"/>
          <w:szCs w:val="24"/>
        </w:rPr>
        <w:t>, 37(1-2), 3-31.</w:t>
      </w:r>
    </w:p>
    <w:p w14:paraId="06F2F188"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Shakil, M. H., Mahmood, N., </w:t>
      </w:r>
      <w:proofErr w:type="spellStart"/>
      <w:r w:rsidRPr="00C944EF">
        <w:rPr>
          <w:rFonts w:ascii="Times New Roman" w:hAnsi="Times New Roman" w:cs="Times New Roman"/>
          <w:sz w:val="24"/>
          <w:szCs w:val="24"/>
        </w:rPr>
        <w:t>Tasnia</w:t>
      </w:r>
      <w:proofErr w:type="spellEnd"/>
      <w:r w:rsidRPr="00C944EF">
        <w:rPr>
          <w:rFonts w:ascii="Times New Roman" w:hAnsi="Times New Roman" w:cs="Times New Roman"/>
          <w:sz w:val="24"/>
          <w:szCs w:val="24"/>
        </w:rPr>
        <w:t xml:space="preserve">, M., &amp; </w:t>
      </w:r>
      <w:proofErr w:type="spellStart"/>
      <w:r w:rsidRPr="00C944EF">
        <w:rPr>
          <w:rFonts w:ascii="Times New Roman" w:hAnsi="Times New Roman" w:cs="Times New Roman"/>
          <w:sz w:val="24"/>
          <w:szCs w:val="24"/>
        </w:rPr>
        <w:t>Munim</w:t>
      </w:r>
      <w:proofErr w:type="spellEnd"/>
      <w:r w:rsidRPr="00C944EF">
        <w:rPr>
          <w:rFonts w:ascii="Times New Roman" w:hAnsi="Times New Roman" w:cs="Times New Roman"/>
          <w:sz w:val="24"/>
          <w:szCs w:val="24"/>
        </w:rPr>
        <w:t>, Z. H. (2019). A systematic review of corporate social responsibility practices across emerging economies in Asia, Africa, Latin America, and Middle East. </w:t>
      </w:r>
      <w:r w:rsidRPr="00C944EF">
        <w:rPr>
          <w:rFonts w:ascii="Times New Roman" w:hAnsi="Times New Roman" w:cs="Times New Roman"/>
          <w:i/>
          <w:iCs/>
          <w:sz w:val="24"/>
          <w:szCs w:val="24"/>
        </w:rPr>
        <w:t>International Journal of Asian Business and Information Management</w:t>
      </w:r>
      <w:r w:rsidRPr="00C944EF">
        <w:rPr>
          <w:rFonts w:ascii="Times New Roman" w:hAnsi="Times New Roman" w:cs="Times New Roman"/>
          <w:sz w:val="24"/>
          <w:szCs w:val="24"/>
        </w:rPr>
        <w:t>, 10(1), 1-24.</w:t>
      </w:r>
    </w:p>
    <w:p w14:paraId="312897B1"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Sharma, D., &amp; </w:t>
      </w:r>
      <w:proofErr w:type="spellStart"/>
      <w:r w:rsidRPr="00C944EF">
        <w:rPr>
          <w:rFonts w:ascii="Times New Roman" w:hAnsi="Times New Roman" w:cs="Times New Roman"/>
          <w:sz w:val="24"/>
          <w:szCs w:val="24"/>
        </w:rPr>
        <w:t>Bahl</w:t>
      </w:r>
      <w:proofErr w:type="spellEnd"/>
      <w:r w:rsidRPr="00C944EF">
        <w:rPr>
          <w:rFonts w:ascii="Times New Roman" w:hAnsi="Times New Roman" w:cs="Times New Roman"/>
          <w:sz w:val="24"/>
          <w:szCs w:val="24"/>
        </w:rPr>
        <w:t>, S. (2024). Corporate social responsibility and financial performance: Evidence from India. </w:t>
      </w:r>
      <w:r w:rsidRPr="00C944EF">
        <w:rPr>
          <w:rFonts w:ascii="Times New Roman" w:hAnsi="Times New Roman" w:cs="Times New Roman"/>
          <w:i/>
          <w:iCs/>
          <w:sz w:val="24"/>
          <w:szCs w:val="24"/>
        </w:rPr>
        <w:t>Journal of Applied Economics and Business Studies</w:t>
      </w:r>
      <w:r w:rsidRPr="00C944EF">
        <w:rPr>
          <w:rFonts w:ascii="Times New Roman" w:hAnsi="Times New Roman" w:cs="Times New Roman"/>
          <w:sz w:val="24"/>
          <w:szCs w:val="24"/>
        </w:rPr>
        <w:t>, 8(1), 1-18.</w:t>
      </w:r>
    </w:p>
    <w:p w14:paraId="7D503E5C"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 xml:space="preserve">Spence, M. (1973). Job market </w:t>
      </w:r>
      <w:proofErr w:type="spellStart"/>
      <w:r w:rsidRPr="00C944EF">
        <w:rPr>
          <w:rFonts w:ascii="Times New Roman" w:hAnsi="Times New Roman" w:cs="Times New Roman"/>
          <w:sz w:val="24"/>
          <w:szCs w:val="24"/>
        </w:rPr>
        <w:t>signaling</w:t>
      </w:r>
      <w:proofErr w:type="spellEnd"/>
      <w:r w:rsidRPr="00C944EF">
        <w:rPr>
          <w:rFonts w:ascii="Times New Roman" w:hAnsi="Times New Roman" w:cs="Times New Roman"/>
          <w:sz w:val="24"/>
          <w:szCs w:val="24"/>
        </w:rPr>
        <w:t>. </w:t>
      </w:r>
      <w:r w:rsidRPr="00C944EF">
        <w:rPr>
          <w:rFonts w:ascii="Times New Roman" w:hAnsi="Times New Roman" w:cs="Times New Roman"/>
          <w:i/>
          <w:iCs/>
          <w:sz w:val="24"/>
          <w:szCs w:val="24"/>
        </w:rPr>
        <w:t>The Quarterly Journal of Economics</w:t>
      </w:r>
      <w:r w:rsidRPr="00C944EF">
        <w:rPr>
          <w:rFonts w:ascii="Times New Roman" w:hAnsi="Times New Roman" w:cs="Times New Roman"/>
          <w:sz w:val="24"/>
          <w:szCs w:val="24"/>
        </w:rPr>
        <w:t>, 87(3), 355-374.</w:t>
      </w:r>
    </w:p>
    <w:p w14:paraId="0A754031"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Toriola</w:t>
      </w:r>
      <w:proofErr w:type="spellEnd"/>
      <w:r w:rsidRPr="00C944EF">
        <w:rPr>
          <w:rFonts w:ascii="Times New Roman" w:hAnsi="Times New Roman" w:cs="Times New Roman"/>
          <w:sz w:val="24"/>
          <w:szCs w:val="24"/>
        </w:rPr>
        <w:t>, K. O. (2025). CEO statement in MTN Nigeria 2024 sustainability report. Lagos: MTN Nigeria Communications Plc.</w:t>
      </w:r>
    </w:p>
    <w:p w14:paraId="4F2C5983"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Velnampy</w:t>
      </w:r>
      <w:proofErr w:type="spellEnd"/>
      <w:r w:rsidRPr="00C944EF">
        <w:rPr>
          <w:rFonts w:ascii="Times New Roman" w:hAnsi="Times New Roman" w:cs="Times New Roman"/>
          <w:sz w:val="24"/>
          <w:szCs w:val="24"/>
        </w:rPr>
        <w:t xml:space="preserve">, T., &amp; </w:t>
      </w:r>
      <w:proofErr w:type="spellStart"/>
      <w:r w:rsidRPr="00C944EF">
        <w:rPr>
          <w:rFonts w:ascii="Times New Roman" w:hAnsi="Times New Roman" w:cs="Times New Roman"/>
          <w:sz w:val="24"/>
          <w:szCs w:val="24"/>
        </w:rPr>
        <w:t>Pratheepkanth</w:t>
      </w:r>
      <w:proofErr w:type="spellEnd"/>
      <w:r w:rsidRPr="00C944EF">
        <w:rPr>
          <w:rFonts w:ascii="Times New Roman" w:hAnsi="Times New Roman" w:cs="Times New Roman"/>
          <w:sz w:val="24"/>
          <w:szCs w:val="24"/>
        </w:rPr>
        <w:t>, P. (2024). Corporate social responsibility and stakeholder engagement: Impact on organizational performance. </w:t>
      </w:r>
      <w:r w:rsidRPr="00C944EF">
        <w:rPr>
          <w:rFonts w:ascii="Times New Roman" w:hAnsi="Times New Roman" w:cs="Times New Roman"/>
          <w:i/>
          <w:iCs/>
          <w:sz w:val="24"/>
          <w:szCs w:val="24"/>
        </w:rPr>
        <w:t>Journal of Advanced Management Studies</w:t>
      </w:r>
      <w:r w:rsidRPr="00C944EF">
        <w:rPr>
          <w:rFonts w:ascii="Times New Roman" w:hAnsi="Times New Roman" w:cs="Times New Roman"/>
          <w:sz w:val="24"/>
          <w:szCs w:val="24"/>
        </w:rPr>
        <w:t>, 1(3), 23-26.</w:t>
      </w:r>
    </w:p>
    <w:p w14:paraId="7372DBE4"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lastRenderedPageBreak/>
        <w:t>Velte</w:t>
      </w:r>
      <w:proofErr w:type="spellEnd"/>
      <w:r w:rsidRPr="00C944EF">
        <w:rPr>
          <w:rFonts w:ascii="Times New Roman" w:hAnsi="Times New Roman" w:cs="Times New Roman"/>
          <w:sz w:val="24"/>
          <w:szCs w:val="24"/>
        </w:rPr>
        <w:t>, P. (2022). Meta-analyses on corporate social responsibility (CSR): A literature review. </w:t>
      </w:r>
      <w:r w:rsidRPr="00C944EF">
        <w:rPr>
          <w:rFonts w:ascii="Times New Roman" w:hAnsi="Times New Roman" w:cs="Times New Roman"/>
          <w:i/>
          <w:iCs/>
          <w:sz w:val="24"/>
          <w:szCs w:val="24"/>
        </w:rPr>
        <w:t>Management Review Quarterly</w:t>
      </w:r>
      <w:r w:rsidRPr="00C944EF">
        <w:rPr>
          <w:rFonts w:ascii="Times New Roman" w:hAnsi="Times New Roman" w:cs="Times New Roman"/>
          <w:sz w:val="24"/>
          <w:szCs w:val="24"/>
        </w:rPr>
        <w:t>, 72, 627-675.</w:t>
      </w:r>
    </w:p>
    <w:p w14:paraId="186AA9D9"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Vieira, V. A., Almeida, M. I. S., Agnihotri, R., &amp; Arunachalam, S. (2023). Consumer company identification: A meta-analytic review. </w:t>
      </w:r>
      <w:r w:rsidRPr="00C944EF">
        <w:rPr>
          <w:rFonts w:ascii="Times New Roman" w:hAnsi="Times New Roman" w:cs="Times New Roman"/>
          <w:i/>
          <w:iCs/>
          <w:sz w:val="24"/>
          <w:szCs w:val="24"/>
        </w:rPr>
        <w:t>Journal of Business Research</w:t>
      </w:r>
      <w:r w:rsidRPr="00C944EF">
        <w:rPr>
          <w:rFonts w:ascii="Times New Roman" w:hAnsi="Times New Roman" w:cs="Times New Roman"/>
          <w:sz w:val="24"/>
          <w:szCs w:val="24"/>
        </w:rPr>
        <w:t>, 157, 113-130.</w:t>
      </w:r>
    </w:p>
    <w:p w14:paraId="4F02B296" w14:textId="77777777" w:rsidR="00C944EF" w:rsidRPr="00C944EF" w:rsidRDefault="00C944EF" w:rsidP="00C944EF">
      <w:pPr>
        <w:jc w:val="both"/>
        <w:rPr>
          <w:rFonts w:ascii="Times New Roman" w:hAnsi="Times New Roman" w:cs="Times New Roman"/>
          <w:sz w:val="24"/>
          <w:szCs w:val="24"/>
        </w:rPr>
      </w:pPr>
      <w:r w:rsidRPr="00C944EF">
        <w:rPr>
          <w:rFonts w:ascii="Times New Roman" w:hAnsi="Times New Roman" w:cs="Times New Roman"/>
          <w:sz w:val="24"/>
          <w:szCs w:val="24"/>
        </w:rPr>
        <w:t>Wang, H., Tong, L., Takeuchi, R., &amp; George, G. (2016). Corporate social responsibility: An overview and new research directions. </w:t>
      </w:r>
      <w:r w:rsidRPr="00C944EF">
        <w:rPr>
          <w:rFonts w:ascii="Times New Roman" w:hAnsi="Times New Roman" w:cs="Times New Roman"/>
          <w:i/>
          <w:iCs/>
          <w:sz w:val="24"/>
          <w:szCs w:val="24"/>
        </w:rPr>
        <w:t>Academy of Management Journal</w:t>
      </w:r>
      <w:r w:rsidRPr="00C944EF">
        <w:rPr>
          <w:rFonts w:ascii="Times New Roman" w:hAnsi="Times New Roman" w:cs="Times New Roman"/>
          <w:sz w:val="24"/>
          <w:szCs w:val="24"/>
        </w:rPr>
        <w:t>, 59(2), 534-544.</w:t>
      </w:r>
    </w:p>
    <w:p w14:paraId="358A0CA5" w14:textId="77777777" w:rsidR="00C944EF" w:rsidRPr="00C944EF" w:rsidRDefault="00C944EF" w:rsidP="00C944EF">
      <w:pPr>
        <w:jc w:val="both"/>
        <w:rPr>
          <w:rFonts w:ascii="Times New Roman" w:hAnsi="Times New Roman" w:cs="Times New Roman"/>
          <w:sz w:val="24"/>
          <w:szCs w:val="24"/>
        </w:rPr>
      </w:pPr>
      <w:proofErr w:type="spellStart"/>
      <w:r w:rsidRPr="00C944EF">
        <w:rPr>
          <w:rFonts w:ascii="Times New Roman" w:hAnsi="Times New Roman" w:cs="Times New Roman"/>
          <w:sz w:val="24"/>
          <w:szCs w:val="24"/>
        </w:rPr>
        <w:t>Wernerfelt</w:t>
      </w:r>
      <w:proofErr w:type="spellEnd"/>
      <w:r w:rsidRPr="00C944EF">
        <w:rPr>
          <w:rFonts w:ascii="Times New Roman" w:hAnsi="Times New Roman" w:cs="Times New Roman"/>
          <w:sz w:val="24"/>
          <w:szCs w:val="24"/>
        </w:rPr>
        <w:t>, B. (1984). A resource-based view of the firm. </w:t>
      </w:r>
      <w:r w:rsidRPr="00C944EF">
        <w:rPr>
          <w:rFonts w:ascii="Times New Roman" w:hAnsi="Times New Roman" w:cs="Times New Roman"/>
          <w:i/>
          <w:iCs/>
          <w:sz w:val="24"/>
          <w:szCs w:val="24"/>
        </w:rPr>
        <w:t>Strategic Management Journal</w:t>
      </w:r>
      <w:r w:rsidRPr="00C944EF">
        <w:rPr>
          <w:rFonts w:ascii="Times New Roman" w:hAnsi="Times New Roman" w:cs="Times New Roman"/>
          <w:sz w:val="24"/>
          <w:szCs w:val="24"/>
        </w:rPr>
        <w:t>, 5(2), 171-180.</w:t>
      </w:r>
    </w:p>
    <w:p w14:paraId="434E0987" w14:textId="77777777" w:rsidR="00584BC1" w:rsidRPr="00C944EF" w:rsidRDefault="00584BC1" w:rsidP="00C944EF">
      <w:pPr>
        <w:jc w:val="both"/>
        <w:rPr>
          <w:rFonts w:ascii="Times New Roman" w:hAnsi="Times New Roman" w:cs="Times New Roman"/>
          <w:sz w:val="24"/>
          <w:szCs w:val="24"/>
        </w:rPr>
      </w:pPr>
    </w:p>
    <w:sectPr w:rsidR="00584BC1" w:rsidRPr="00C94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4030C"/>
    <w:multiLevelType w:val="multilevel"/>
    <w:tmpl w:val="02D0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EF"/>
    <w:rsid w:val="00584BC1"/>
    <w:rsid w:val="00C944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DB48"/>
  <w15:chartTrackingRefBased/>
  <w15:docId w15:val="{124AD6E0-C7AC-4B58-A1DA-D17F2056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23459">
      <w:bodyDiv w:val="1"/>
      <w:marLeft w:val="0"/>
      <w:marRight w:val="0"/>
      <w:marTop w:val="0"/>
      <w:marBottom w:val="0"/>
      <w:divBdr>
        <w:top w:val="none" w:sz="0" w:space="0" w:color="auto"/>
        <w:left w:val="none" w:sz="0" w:space="0" w:color="auto"/>
        <w:bottom w:val="none" w:sz="0" w:space="0" w:color="auto"/>
        <w:right w:val="none" w:sz="0" w:space="0" w:color="auto"/>
      </w:divBdr>
    </w:div>
    <w:div w:id="29290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6267</Words>
  <Characters>43807</Characters>
  <Application>Microsoft Office Word</Application>
  <DocSecurity>0</DocSecurity>
  <Lines>644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Oriwoh</dc:creator>
  <cp:keywords/>
  <dc:description/>
  <cp:lastModifiedBy>Jennifer Oriwoh</cp:lastModifiedBy>
  <cp:revision>1</cp:revision>
  <dcterms:created xsi:type="dcterms:W3CDTF">2025-11-11T08:25:00Z</dcterms:created>
  <dcterms:modified xsi:type="dcterms:W3CDTF">2025-11-11T08:37:00Z</dcterms:modified>
</cp:coreProperties>
</file>