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compare logistic regression (LR), bagged CART and training-tuned XGBoost on 2,063 common test rows from the 2,578-row UCI Seismic Bumps mirror. Record order is a temporal proxy because timestamps and longwall identifiers are absent. Matching rows reduces the apparent random-versus-record-order average-precision gap by 89.7 percent for LR and 86.9 percent for CART. Residual differences are 0.0114 (95 percent interval [-0.0110, 0.0243]) and 0.0188 ([0.0064, 0.0323]); the comparison does not isolate leakage or drift.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and exact TreeSHAP distinguish fitted-model feature use from incremental predictive value. Energy, low-energy event counts and pulse activity repeatedly contribute to XGBoost predictions. At 10 and 20 percent training reference budgets, supplementary holdout XGBoost produces 30 and 81 alerts, detecting 3 and 6 of 26 hazardous shifts. Together, matched cohorts, explicit probability references and detection counts connect forecast evaluation to inspection workload. Intervals condition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 data therefore support comparisons of recorded assessments with measured signals.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Janusz et al. [13] compared expert and sensor information and investigated cold start at new mining sites. Site adaptation requires identified locations and local histories; our common-row evaluation addresses protocol comparisons within an anonymous record sequence. The microseismic review by Anikiev et al. [14] distinguishes detection and location tasks from forecasting. This study uses shift summaries, not waveform detection or event-location models.</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connects three engineering questions: how cohort composition changes the validation comparison, whether probability correction improves assessment, and how monitoring signals contribute to predictions and warning workload.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XGBoost models with all features explain their own outer test predictions through native exact TreeSHAP. Training leaf covers provide its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fixed-inner-model comparison at the same cutoff would quantify the difference between these workflows on identical test rows; it would not identify a causal effect of refitting.</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SHAP and ablation answer different engineering questions.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Signed contributions explain how the fitted model uses a variable, not the causal effect of changing that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The cold-start question in [13] concerns adapting to a new site with limited local history. Our record blocks assess evaluation and cutoff transfer, without identifying site changes. A subsequent study should preregister its feature and alert-policy choices, then test them on independent timestamped working-face data with defined inspection actions.</w:t>
      </w:r>
    </w:p>
    <w:p>
      <w:pPr>
        <w:pStyle w:val="Heading1"/>
      </w:pPr>
      <w:r>
        <w:t>8 Conclusions</w:t>
      </w:r>
    </w:p>
    <w:p>
      <w:r>
        <w:t>This study evaluates seismic forecasts through matched test records, probability references and monitoring-feature comparisons. Matching rows reduces the apparent protocol gap without identifying a causal share of leakage or drift. Training-prior correction improves LR calibration, while baseline-relative Brier skill depends on the stated reference. TreeSHAP describes fitted-model feature use; refitted ablations assess incremental predictive value. Frozen-budget outcomes connect these forecasts to detected, missed and falsely alerted shifts. The resulting evidence supports engineering review of prediction and inspection demand under the stated retrospective design.</w:t>
      </w:r>
    </w:p>
    <w:p>
      <w:pPr>
        <w:pStyle w:val="Heading1"/>
      </w:pPr>
      <w:r>
        <w:t>Data and computational reproducibility</w:t>
      </w:r>
    </w:p>
    <w:p>
      <w:r>
        <w:t>Source data are available from UCI [1] and the CSV mirror [2]. Saved evidence includes predictions for every feature set, scores from inner reference sets, fold audits, predictions for candidate selection and manifests of row indices. It also retains bootstrap replicates, five random seeds, native XGBoost models, TreeSHAP contributions for each row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r>
        <w:t>Reference metadata were cross-checked with the citation-management tools in Scientific Agent Skills [12].</w:t>
      </w:r>
    </w:p>
    <w:p>
      <w:r>
        <w:t>The author directed the research scope, protocol refinement and review priorities. ChatGPT and Codex substantially assisted implementation, execution, verification and writing. The repository CONTRIBUTIONS.md separates author review from recorded computational checks and links project decisions to evidence.</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ind w:left="317" w:hanging="317"/>
        <w:jc w:val="left"/>
      </w:pPr>
      <w:r>
        <w:rPr>
          <w:sz w:val="20"/>
        </w:rPr>
        <w:t>[12] Kassis T, Agarwal V, He Y, Patel D, Brueckner AM. Scientific Agent Skills: A Library of Procedural Knowledge for Research Agents. arXiv, 2026. DOI: 10.48550/arXiv.2609.00065. https://arxiv.org/abs/2609.00065</w:t>
      </w:r>
    </w:p>
    <w:p>
      <w:pPr>
        <w:ind w:left="317" w:hanging="317"/>
        <w:jc w:val="left"/>
      </w:pPr>
      <w:r>
        <w:rPr>
          <w:sz w:val="20"/>
        </w:rPr>
        <w:t>[13] Janusz A, Grzegorowski M, Michalak M, Wrobel L, Sikora M, Slezak D. Predicting seismic events in coal mines based on underground sensor measurements. Engineering Applications of Artificial Intelligence, 2017, 64:83-94. DOI: 10.1016/j.engappai.2017.06.002.</w:t>
      </w:r>
    </w:p>
    <w:p>
      <w:pPr>
        <w:ind w:left="317" w:hanging="317"/>
        <w:jc w:val="left"/>
      </w:pPr>
      <w:r>
        <w:rPr>
          <w:sz w:val="20"/>
        </w:rPr>
        <w:t>[14] Anikiev D, Birnie C, Waheed Ub, Alkhalifah T, Gu C, Verschuur DJ, Eisner L. Machine learning in microseismic monitoring. Earth-Science Reviews, 2023, 239:104371. DOI: 10.1016/j.earscirev.2023.104371.</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