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relative missed-shift cost r=10, pooled cost-plus-capacity loss equaled or exceeded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These dependent settings use different denominators.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The workflow links historical selection audits to later decision value.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 The contribution is auditable decision analysis that links historical selection reasons to later loss, hazardous-shift coverage and capacity excess, and evaluates refitting at the same numerical cutoff.</w:t>
      </w:r>
    </w:p>
    <w:p>
      <w:pPr>
        <w:jc w:val="both"/>
      </w:pPr>
      <w:r>
        <w:t>Mining cold-start research addresses limited local history at new sites [10]; microseismic reviews distinguish waveform detection and location from forecasting [11]. Here, cost-sensitive loss [5] and inspection budgets connect shift forecasts to decisions. We jointly evaluate transferred loss, workload and refitting, with historical audits explaining no-alarm choices. This links the selection rationale to later outcomes on the same test records.</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pPr>
      <w:r>
        <w:t>Table 1. Disjoint areas, reference/test prevalence and training-only XGBoost choices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029"/>
        <w:gridCol w:w="1029"/>
        <w:gridCol w:w="1029"/>
        <w:gridCol w:w="1029"/>
        <w:gridCol w:w="1029"/>
        <w:gridCol w:w="1029"/>
        <w:gridCol w:w="1029"/>
        <w:gridCol w:w="1029"/>
        <w:gridCol w:w="1029"/>
      </w:tblGrid>
      <w:tr>
        <w:trPr>
          <w:tblHeader/>
          <w:cantSplit/>
        </w:trPr>
        <w:tc>
          <w:tcPr>
            <w:tcW w:type="dxa" w:w="1029"/>
            <w:shd w:fill="EEEEEE"/>
          </w:tcPr>
          <w:p>
            <w:pPr>
              <w:spacing w:after="60" w:before="60" w:line="240" w:lineRule="auto"/>
            </w:pPr>
            <w:r>
              <w:rPr>
                <w:b/>
                <w:sz w:val="18"/>
              </w:rPr>
              <w:t>Phase</w:t>
            </w:r>
          </w:p>
        </w:tc>
        <w:tc>
          <w:tcPr>
            <w:tcW w:type="dxa" w:w="1029"/>
            <w:shd w:fill="EEEEEE"/>
          </w:tcPr>
          <w:p>
            <w:pPr>
              <w:spacing w:after="60" w:before="60" w:line="240" w:lineRule="auto"/>
            </w:pPr>
            <w:r>
              <w:rPr>
                <w:b/>
                <w:sz w:val="18"/>
              </w:rPr>
              <w:t>Fit n</w:t>
            </w:r>
          </w:p>
        </w:tc>
        <w:tc>
          <w:tcPr>
            <w:tcW w:type="dxa" w:w="1029"/>
            <w:shd w:fill="EEEEEE"/>
          </w:tcPr>
          <w:p>
            <w:pPr>
              <w:spacing w:after="60" w:before="60" w:line="240" w:lineRule="auto"/>
            </w:pPr>
            <w:r>
              <w:rPr>
                <w:b/>
                <w:sz w:val="18"/>
              </w:rPr>
              <w:t>Ref n</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Test n</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Depth / rounds</w:t>
            </w:r>
          </w:p>
        </w:tc>
      </w:tr>
      <w:tr>
        <w:trPr>
          <w:cantSplit/>
        </w:trPr>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412</w:t>
            </w:r>
          </w:p>
        </w:tc>
        <w:tc>
          <w:tcPr>
            <w:tcW w:type="dxa" w:w="1029"/>
          </w:tcPr>
          <w:p>
            <w:pPr>
              <w:spacing w:after="60" w:before="60" w:line="240" w:lineRule="auto"/>
            </w:pPr>
            <w:r>
              <w:rPr>
                <w:b w:val="0"/>
                <w:sz w:val="18"/>
              </w:rPr>
              <w:t>103</w:t>
            </w:r>
          </w:p>
        </w:tc>
        <w:tc>
          <w:tcPr>
            <w:tcW w:type="dxa" w:w="1029"/>
          </w:tcPr>
          <w:p>
            <w:pPr>
              <w:spacing w:after="60" w:before="60" w:line="240" w:lineRule="auto"/>
            </w:pPr>
            <w:r>
              <w:rPr>
                <w:b w:val="0"/>
                <w:sz w:val="18"/>
              </w:rPr>
              <w:t>21</w:t>
            </w:r>
          </w:p>
        </w:tc>
        <w:tc>
          <w:tcPr>
            <w:tcW w:type="dxa" w:w="1029"/>
          </w:tcPr>
          <w:p>
            <w:pPr>
              <w:spacing w:after="60" w:before="60" w:line="240" w:lineRule="auto"/>
            </w:pPr>
            <w:r>
              <w:rPr>
                <w:b w:val="0"/>
                <w:sz w:val="18"/>
              </w:rPr>
              <w:t>20.39%</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36</w:t>
            </w:r>
          </w:p>
        </w:tc>
        <w:tc>
          <w:tcPr>
            <w:tcW w:type="dxa" w:w="1029"/>
          </w:tcPr>
          <w:p>
            <w:pPr>
              <w:spacing w:after="60" w:before="60" w:line="240" w:lineRule="auto"/>
            </w:pPr>
            <w:r>
              <w:rPr>
                <w:b w:val="0"/>
                <w:sz w:val="18"/>
              </w:rPr>
              <w:t>6.98%</w:t>
            </w:r>
          </w:p>
        </w:tc>
        <w:tc>
          <w:tcPr>
            <w:tcW w:type="dxa" w:w="1029"/>
          </w:tcPr>
          <w:p>
            <w:pPr>
              <w:spacing w:after="60" w:before="60" w:line="240" w:lineRule="auto"/>
            </w:pPr>
            <w:r>
              <w:rPr>
                <w:b w:val="0"/>
                <w:sz w:val="18"/>
              </w:rPr>
              <w:t>2 / 80</w:t>
            </w:r>
          </w:p>
        </w:tc>
      </w:tr>
      <w:tr>
        <w:trPr>
          <w:cantSplit/>
        </w:trPr>
        <w:tc>
          <w:tcPr>
            <w:tcW w:type="dxa" w:w="1029"/>
          </w:tcPr>
          <w:p>
            <w:pPr>
              <w:spacing w:after="60" w:before="60" w:line="240" w:lineRule="auto"/>
            </w:pPr>
            <w:r>
              <w:rPr>
                <w:b w:val="0"/>
                <w:sz w:val="18"/>
              </w:rPr>
              <w:t>2</w:t>
            </w:r>
          </w:p>
        </w:tc>
        <w:tc>
          <w:tcPr>
            <w:tcW w:type="dxa" w:w="1029"/>
          </w:tcPr>
          <w:p>
            <w:pPr>
              <w:spacing w:after="60" w:before="60" w:line="240" w:lineRule="auto"/>
            </w:pPr>
            <w:r>
              <w:rPr>
                <w:b w:val="0"/>
                <w:sz w:val="18"/>
              </w:rPr>
              <w:t>824</w:t>
            </w:r>
          </w:p>
        </w:tc>
        <w:tc>
          <w:tcPr>
            <w:tcW w:type="dxa" w:w="1029"/>
          </w:tcPr>
          <w:p>
            <w:pPr>
              <w:spacing w:after="60" w:before="60" w:line="240" w:lineRule="auto"/>
            </w:pPr>
            <w:r>
              <w:rPr>
                <w:b w:val="0"/>
                <w:sz w:val="18"/>
              </w:rPr>
              <w:t>207</w:t>
            </w:r>
          </w:p>
        </w:tc>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0.48%</w:t>
            </w:r>
          </w:p>
        </w:tc>
        <w:tc>
          <w:tcPr>
            <w:tcW w:type="dxa" w:w="1029"/>
          </w:tcPr>
          <w:p>
            <w:pPr>
              <w:spacing w:after="60" w:before="60" w:line="240" w:lineRule="auto"/>
            </w:pPr>
            <w:r>
              <w:rPr>
                <w:b w:val="0"/>
                <w:sz w:val="18"/>
              </w:rPr>
              <w:t>515</w:t>
            </w:r>
          </w:p>
        </w:tc>
        <w:tc>
          <w:tcPr>
            <w:tcW w:type="dxa" w:w="1029"/>
          </w:tcPr>
          <w:p>
            <w:pPr>
              <w:spacing w:after="60" w:before="60" w:line="240" w:lineRule="auto"/>
            </w:pPr>
            <w:r>
              <w:rPr>
                <w:b w:val="0"/>
                <w:sz w:val="18"/>
              </w:rPr>
              <w:t>10</w:t>
            </w:r>
          </w:p>
        </w:tc>
        <w:tc>
          <w:tcPr>
            <w:tcW w:type="dxa" w:w="1029"/>
          </w:tcPr>
          <w:p>
            <w:pPr>
              <w:spacing w:after="60" w:before="60" w:line="240" w:lineRule="auto"/>
            </w:pPr>
            <w:r>
              <w:rPr>
                <w:b w:val="0"/>
                <w:sz w:val="18"/>
              </w:rPr>
              <w:t>1.94%</w:t>
            </w:r>
          </w:p>
        </w:tc>
        <w:tc>
          <w:tcPr>
            <w:tcW w:type="dxa" w:w="1029"/>
          </w:tcPr>
          <w:p>
            <w:pPr>
              <w:spacing w:after="60" w:before="60" w:line="240" w:lineRule="auto"/>
            </w:pPr>
            <w:r>
              <w:rPr>
                <w:b w:val="0"/>
                <w:sz w:val="18"/>
              </w:rPr>
              <w:t>2 / 160</w:t>
            </w:r>
          </w:p>
        </w:tc>
      </w:tr>
      <w:tr>
        <w:trPr>
          <w:cantSplit/>
        </w:trPr>
        <w:tc>
          <w:tcPr>
            <w:tcW w:type="dxa" w:w="1029"/>
          </w:tcPr>
          <w:p>
            <w:pPr>
              <w:spacing w:after="60" w:before="60" w:line="240" w:lineRule="auto"/>
            </w:pPr>
            <w:r>
              <w:rPr>
                <w:b w:val="0"/>
                <w:sz w:val="18"/>
              </w:rPr>
              <w:t>3</w:t>
            </w:r>
          </w:p>
        </w:tc>
        <w:tc>
          <w:tcPr>
            <w:tcW w:type="dxa" w:w="1029"/>
          </w:tcPr>
          <w:p>
            <w:pPr>
              <w:spacing w:after="60" w:before="60" w:line="240" w:lineRule="auto"/>
            </w:pPr>
            <w:r>
              <w:rPr>
                <w:b w:val="0"/>
                <w:sz w:val="18"/>
              </w:rPr>
              <w:t>1236</w:t>
            </w:r>
          </w:p>
        </w:tc>
        <w:tc>
          <w:tcPr>
            <w:tcW w:type="dxa" w:w="1029"/>
          </w:tcPr>
          <w:p>
            <w:pPr>
              <w:spacing w:after="60" w:before="60" w:line="240" w:lineRule="auto"/>
            </w:pPr>
            <w:r>
              <w:rPr>
                <w:b w:val="0"/>
                <w:sz w:val="18"/>
              </w:rPr>
              <w:t>310</w:t>
            </w:r>
          </w:p>
        </w:tc>
        <w:tc>
          <w:tcPr>
            <w:tcW w:type="dxa" w:w="1029"/>
          </w:tcPr>
          <w:p>
            <w:pPr>
              <w:spacing w:after="60" w:before="60" w:line="240" w:lineRule="auto"/>
            </w:pPr>
            <w:r>
              <w:rPr>
                <w:b w:val="0"/>
                <w:sz w:val="18"/>
              </w:rPr>
              <w:t>7</w:t>
            </w:r>
          </w:p>
        </w:tc>
        <w:tc>
          <w:tcPr>
            <w:tcW w:type="dxa" w:w="1029"/>
          </w:tcPr>
          <w:p>
            <w:pPr>
              <w:spacing w:after="60" w:before="60" w:line="240" w:lineRule="auto"/>
            </w:pPr>
            <w:r>
              <w:rPr>
                <w:b w:val="0"/>
                <w:sz w:val="18"/>
              </w:rPr>
              <w:t>2.26%</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24</w:t>
            </w:r>
          </w:p>
        </w:tc>
        <w:tc>
          <w:tcPr>
            <w:tcW w:type="dxa" w:w="1029"/>
          </w:tcPr>
          <w:p>
            <w:pPr>
              <w:spacing w:after="60" w:before="60" w:line="240" w:lineRule="auto"/>
            </w:pPr>
            <w:r>
              <w:rPr>
                <w:b w:val="0"/>
                <w:sz w:val="18"/>
              </w:rPr>
              <w:t>4.65%</w:t>
            </w:r>
          </w:p>
        </w:tc>
        <w:tc>
          <w:tcPr>
            <w:tcW w:type="dxa" w:w="1029"/>
          </w:tcPr>
          <w:p>
            <w:pPr>
              <w:spacing w:after="60" w:before="60" w:line="240" w:lineRule="auto"/>
            </w:pPr>
            <w:r>
              <w:rPr>
                <w:b w:val="0"/>
                <w:sz w:val="18"/>
              </w:rPr>
              <w:t>3 / 80</w:t>
            </w:r>
          </w:p>
        </w:tc>
      </w:tr>
      <w:tr>
        <w:trPr>
          <w:cantSplit/>
        </w:trPr>
        <w:tc>
          <w:tcPr>
            <w:tcW w:type="dxa" w:w="1029"/>
          </w:tcPr>
          <w:p>
            <w:pPr>
              <w:spacing w:after="60" w:before="60" w:line="240" w:lineRule="auto"/>
            </w:pPr>
            <w:r>
              <w:rPr>
                <w:b w:val="0"/>
                <w:sz w:val="18"/>
              </w:rPr>
              <w:t>4</w:t>
            </w:r>
          </w:p>
        </w:tc>
        <w:tc>
          <w:tcPr>
            <w:tcW w:type="dxa" w:w="1029"/>
          </w:tcPr>
          <w:p>
            <w:pPr>
              <w:spacing w:after="60" w:before="60" w:line="240" w:lineRule="auto"/>
            </w:pPr>
            <w:r>
              <w:rPr>
                <w:b w:val="0"/>
                <w:sz w:val="18"/>
              </w:rPr>
              <w:t>1649</w:t>
            </w:r>
          </w:p>
        </w:tc>
        <w:tc>
          <w:tcPr>
            <w:tcW w:type="dxa" w:w="1029"/>
          </w:tcPr>
          <w:p>
            <w:pPr>
              <w:spacing w:after="60" w:before="60" w:line="240" w:lineRule="auto"/>
            </w:pPr>
            <w:r>
              <w:rPr>
                <w:b w:val="0"/>
                <w:sz w:val="18"/>
              </w:rPr>
              <w:t>413</w:t>
            </w:r>
          </w:p>
        </w:tc>
        <w:tc>
          <w:tcPr>
            <w:tcW w:type="dxa" w:w="1029"/>
          </w:tcPr>
          <w:p>
            <w:pPr>
              <w:spacing w:after="60" w:before="60" w:line="240" w:lineRule="auto"/>
            </w:pPr>
            <w:r>
              <w:rPr>
                <w:b w:val="0"/>
                <w:sz w:val="18"/>
              </w:rPr>
              <w:t>20</w:t>
            </w:r>
          </w:p>
        </w:tc>
        <w:tc>
          <w:tcPr>
            <w:tcW w:type="dxa" w:w="1029"/>
          </w:tcPr>
          <w:p>
            <w:pPr>
              <w:spacing w:after="60" w:before="60" w:line="240" w:lineRule="auto"/>
            </w:pPr>
            <w:r>
              <w:rPr>
                <w:b w:val="0"/>
                <w:sz w:val="18"/>
              </w:rPr>
              <w:t>4.84%</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18</w:t>
            </w:r>
          </w:p>
        </w:tc>
        <w:tc>
          <w:tcPr>
            <w:tcW w:type="dxa" w:w="1029"/>
          </w:tcPr>
          <w:p>
            <w:pPr>
              <w:spacing w:after="60" w:before="60" w:line="240" w:lineRule="auto"/>
            </w:pPr>
            <w:r>
              <w:rPr>
                <w:b w:val="0"/>
                <w:sz w:val="18"/>
              </w:rPr>
              <w:t>3.49%</w:t>
            </w:r>
          </w:p>
        </w:tc>
        <w:tc>
          <w:tcPr>
            <w:tcW w:type="dxa" w:w="1029"/>
          </w:tcPr>
          <w:p>
            <w:pPr>
              <w:spacing w:after="60" w:before="60" w:line="240" w:lineRule="auto"/>
            </w:pPr>
            <w:r>
              <w:rPr>
                <w:b w:val="0"/>
                <w:sz w:val="18"/>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pPr>
      <w:r>
        <w:t>Table 2. Rules on the historical reference area</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Rule</w:t>
            </w:r>
          </w:p>
        </w:tc>
        <w:tc>
          <w:tcPr>
            <w:tcW w:type="dxa" w:w="3086"/>
            <w:shd w:fill="EEEEEE"/>
          </w:tcPr>
          <w:p>
            <w:pPr>
              <w:spacing w:after="60" w:before="60" w:line="240" w:lineRule="auto"/>
            </w:pPr>
            <w:r>
              <w:rPr>
                <w:b/>
                <w:sz w:val="18"/>
              </w:rPr>
              <w:t>Objective</w:t>
            </w:r>
          </w:p>
        </w:tc>
        <w:tc>
          <w:tcPr>
            <w:tcW w:type="dxa" w:w="3086"/>
            <w:shd w:fill="EEEEEE"/>
          </w:tcPr>
          <w:p>
            <w:pPr>
              <w:spacing w:after="60" w:before="60" w:line="240" w:lineRule="auto"/>
            </w:pPr>
            <w:r>
              <w:rPr>
                <w:b/>
                <w:sz w:val="18"/>
              </w:rPr>
              <w:t>Constraint</w:t>
            </w:r>
          </w:p>
        </w:tc>
      </w:tr>
      <w:tr>
        <w:trPr>
          <w:cantSplit/>
        </w:trPr>
        <w:tc>
          <w:tcPr>
            <w:tcW w:type="dxa" w:w="3086"/>
          </w:tcPr>
          <w:p>
            <w:pPr>
              <w:spacing w:after="60" w:before="60" w:line="240" w:lineRule="auto"/>
            </w:pPr>
            <w:r>
              <w:rPr>
                <w:b w:val="0"/>
                <w:sz w:val="18"/>
              </w:rPr>
              <w:t>A budget</w:t>
            </w:r>
          </w:p>
        </w:tc>
        <w:tc>
          <w:tcPr>
            <w:tcW w:type="dxa" w:w="3086"/>
          </w:tcPr>
          <w:p>
            <w:pPr>
              <w:spacing w:after="60" w:before="60" w:line="240" w:lineRule="auto"/>
            </w:pPr>
            <w:r>
              <w:rPr>
                <w:b w:val="0"/>
                <w:sz w:val="18"/>
              </w:rPr>
              <w:t>Maximum whole-group alert count</w:t>
            </w:r>
          </w:p>
        </w:tc>
        <w:tc>
          <w:tcPr>
            <w:tcW w:type="dxa" w:w="3086"/>
          </w:tcPr>
          <w:p>
            <w:pPr>
              <w:spacing w:after="60" w:before="60" w:line="240" w:lineRule="auto"/>
            </w:pPr>
            <w:r>
              <w:rPr>
                <w:b w:val="0"/>
                <w:sz w:val="18"/>
              </w:rPr>
              <w:t>Alerts ≤ floor(B Nref)</w:t>
            </w:r>
          </w:p>
        </w:tc>
      </w:tr>
      <w:tr>
        <w:trPr>
          <w:cantSplit/>
        </w:trPr>
        <w:tc>
          <w:tcPr>
            <w:tcW w:type="dxa" w:w="3086"/>
          </w:tcPr>
          <w:p>
            <w:pPr>
              <w:spacing w:after="60" w:before="60" w:line="240" w:lineRule="auto"/>
            </w:pPr>
            <w:r>
              <w:rPr>
                <w:b w:val="0"/>
                <w:sz w:val="18"/>
              </w:rPr>
              <w:t>B cost</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None</w:t>
            </w:r>
          </w:p>
        </w:tc>
      </w:tr>
      <w:tr>
        <w:trPr>
          <w:cantSplit/>
        </w:trPr>
        <w:tc>
          <w:tcPr>
            <w:tcW w:type="dxa" w:w="3086"/>
          </w:tcPr>
          <w:p>
            <w:pPr>
              <w:spacing w:after="60" w:before="60" w:line="240" w:lineRule="auto"/>
            </w:pPr>
            <w:r>
              <w:rPr>
                <w:b w:val="0"/>
                <w:sz w:val="18"/>
              </w:rPr>
              <w:t>C cost plus capacity</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Alerts ≤ floor(B Nref)</w:t>
            </w:r>
          </w:p>
        </w:tc>
      </w:tr>
    </w:tbl>
    <w:p>
      <w:pPr>
        <w:jc w:val="both"/>
      </w:pPr>
      <w:r>
        <w:t>Budgets are 1%, 5%, 10% and 20%; relative penalties r for missing a hazardous shift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2.1 Decision assumptions and evaluation scope</w:t>
      </w:r>
    </w:p>
    <w:p>
      <w:pPr>
        <w:pStyle w:val="Caption"/>
      </w:pPr>
      <w:r>
        <w:t>Table 2a. Decision assumptions and evaluation scope</w:t>
      </w:r>
    </w:p>
    <w:tbl>
      <w:tblPr>
        <w:tblW w:type="auto" w:w="0"/>
        <w:tblLayout w:type="fixed"/>
        <w:tblLook w:firstColumn="1" w:firstRow="1" w:lastColumn="0" w:lastRow="0" w:noHBand="0" w:noVBand="1" w:val="04A0"/>
        <w:tblBorders>
          <w:top w:val="single" w:sz="4" w:color="AAAAAA"/>
          <w:bottom w:val="single" w:sz="4" w:color="AAAAAA"/>
          <w:insideH w:val="single" w:sz="4" w:color="AAAAAA"/>
        </w:tblBorders>
      </w:tblPr>
      <w:tblGrid>
        <w:gridCol w:w="2088"/>
        <w:gridCol w:w="7171"/>
      </w:tblGrid>
      <w:tr>
        <w:trPr>
          <w:tblHeader/>
          <w:cantSplit/>
        </w:trPr>
        <w:tc>
          <w:tcPr>
            <w:tcW w:type="dxa" w:w="2088"/>
            <w:shd w:fill="EEEEEE"/>
          </w:tcPr>
          <w:p>
            <w:pPr>
              <w:spacing w:after="60" w:before="60" w:line="240" w:lineRule="auto"/>
            </w:pPr>
            <w:r>
              <w:rPr>
                <w:b/>
                <w:sz w:val="18"/>
              </w:rPr>
              <w:t>Item</w:t>
            </w:r>
          </w:p>
        </w:tc>
        <w:tc>
          <w:tcPr>
            <w:tcW w:type="dxa" w:w="7171"/>
            <w:shd w:fill="EEEEEE"/>
          </w:tcPr>
          <w:p>
            <w:pPr>
              <w:spacing w:after="60" w:before="60" w:line="240" w:lineRule="auto"/>
            </w:pPr>
            <w:r>
              <w:rPr>
                <w:b/>
                <w:sz w:val="18"/>
              </w:rPr>
              <w:t>Definition and evaluation scope</w:t>
            </w:r>
          </w:p>
        </w:tc>
      </w:tr>
      <w:tr>
        <w:trPr>
          <w:cantSplit/>
        </w:trPr>
        <w:tc>
          <w:tcPr>
            <w:tcW w:type="dxa" w:w="2088"/>
          </w:tcPr>
          <w:p>
            <w:pPr>
              <w:spacing w:after="60" w:before="60" w:line="240" w:lineRule="auto"/>
            </w:pPr>
            <w:r>
              <w:rPr>
                <w:b w:val="0"/>
                <w:sz w:val="18"/>
              </w:rPr>
              <w:t>Alert object</w:t>
            </w:r>
          </w:p>
        </w:tc>
        <w:tc>
          <w:tcPr>
            <w:tcW w:type="dxa" w:w="7171"/>
          </w:tcPr>
          <w:p>
            <w:pPr>
              <w:spacing w:after="60" w:before="60" w:line="240" w:lineRule="auto"/>
            </w:pPr>
            <w:r>
              <w:rPr>
                <w:b w:val="0"/>
                <w:sz w:val="18"/>
              </w:rPr>
              <w:t>One dataset shift record flagged as hazardous for the next shift; recorded row order is a temporal proxy.</w:t>
            </w:r>
          </w:p>
        </w:tc>
      </w:tr>
      <w:tr>
        <w:trPr>
          <w:cantSplit/>
        </w:trPr>
        <w:tc>
          <w:tcPr>
            <w:tcW w:type="dxa" w:w="2088"/>
          </w:tcPr>
          <w:p>
            <w:pPr>
              <w:spacing w:after="60" w:before="60" w:line="240" w:lineRule="auto"/>
            </w:pPr>
            <w:r>
              <w:rPr>
                <w:b w:val="0"/>
                <w:sz w:val="18"/>
              </w:rPr>
              <w:t>Capacity unit</w:t>
            </w:r>
          </w:p>
        </w:tc>
        <w:tc>
          <w:tcPr>
            <w:tcW w:type="dxa" w:w="7171"/>
          </w:tcPr>
          <w:p>
            <w:pPr>
              <w:spacing w:after="60" w:before="60" w:line="240" w:lineRule="auto"/>
            </w:pPr>
            <w:r>
              <w:rPr>
                <w:b w:val="0"/>
                <w:sz w:val="18"/>
              </w:rPr>
              <w:t>One flagged record represents one assumed inspection slot. Historical slots are floor(B Nref); later slots are floor(B Ntest), separately for each block. Inspection duration and staffing are not measured.</w:t>
            </w:r>
          </w:p>
        </w:tc>
      </w:tr>
      <w:tr>
        <w:trPr>
          <w:cantSplit/>
        </w:trPr>
        <w:tc>
          <w:tcPr>
            <w:tcW w:type="dxa" w:w="2088"/>
          </w:tcPr>
          <w:p>
            <w:pPr>
              <w:spacing w:after="60" w:before="60" w:line="240" w:lineRule="auto"/>
            </w:pPr>
            <w:r>
              <w:rPr>
                <w:b w:val="0"/>
                <w:sz w:val="18"/>
              </w:rPr>
              <w:t>TP / FP / FN</w:t>
            </w:r>
          </w:p>
        </w:tc>
        <w:tc>
          <w:tcPr>
            <w:tcW w:type="dxa" w:w="7171"/>
          </w:tcPr>
          <w:p>
            <w:pPr>
              <w:spacing w:after="60" w:before="60" w:line="240" w:lineRule="auto"/>
            </w:pPr>
            <w:r>
              <w:rPr>
                <w:b w:val="0"/>
                <w:sz w:val="18"/>
              </w:rPr>
              <w:t>TP: flagged hazardous shift. FP: flagged non-hazardous shift. FN: unflagged hazardous shift. TP counts label coverage, not confirmed inspections or avoided accidents.</w:t>
            </w:r>
          </w:p>
        </w:tc>
      </w:tr>
      <w:tr>
        <w:trPr>
          <w:cantSplit/>
        </w:trPr>
        <w:tc>
          <w:tcPr>
            <w:tcW w:type="dxa" w:w="2088"/>
          </w:tcPr>
          <w:p>
            <w:pPr>
              <w:spacing w:after="60" w:before="60" w:line="240" w:lineRule="auto"/>
            </w:pPr>
            <w:r>
              <w:rPr>
                <w:b w:val="0"/>
                <w:sz w:val="18"/>
              </w:rPr>
              <w:t>Relative loss</w:t>
            </w:r>
          </w:p>
        </w:tc>
        <w:tc>
          <w:tcPr>
            <w:tcW w:type="dxa" w:w="7171"/>
          </w:tcPr>
          <w:p>
            <w:pPr>
              <w:spacing w:after="60" w:before="60" w:line="240" w:lineRule="auto"/>
            </w:pPr>
            <w:r>
              <w:rPr>
                <w:b w:val="0"/>
                <w:sz w:val="18"/>
              </w:rPr>
              <w:t>L = r FN + FP assigns missed hazardous shifts cost r and false alerts cost 1. It includes no separate TP inspection cost, accident-severity cost, delay cost or monetary estimate.</w:t>
            </w:r>
          </w:p>
        </w:tc>
      </w:tr>
      <w:tr>
        <w:trPr>
          <w:cantSplit/>
        </w:trPr>
        <w:tc>
          <w:tcPr>
            <w:tcW w:type="dxa" w:w="2088"/>
          </w:tcPr>
          <w:p>
            <w:pPr>
              <w:spacing w:after="60" w:before="60" w:line="240" w:lineRule="auto"/>
            </w:pPr>
            <w:r>
              <w:rPr>
                <w:b w:val="0"/>
                <w:sz w:val="18"/>
              </w:rPr>
              <w:t>Excess alerts</w:t>
            </w:r>
          </w:p>
        </w:tc>
        <w:tc>
          <w:tcPr>
            <w:tcW w:type="dxa" w:w="7171"/>
          </w:tcPr>
          <w:p>
            <w:pPr>
              <w:spacing w:after="60" w:before="60" w:line="240" w:lineRule="auto"/>
            </w:pPr>
            <w:r>
              <w:rPr>
                <w:b w:val="0"/>
                <w:sz w:val="18"/>
              </w:rPr>
              <w:t>Excess = max(0, Alerts − floor(B Ntest)). All score-based alerts remain in TP/FP/FN and loss. Excess is recorded as demand; alerts are not truncated, queued or assigned an additional loss penalty.</w:t>
            </w:r>
          </w:p>
        </w:tc>
      </w:tr>
      <w:tr>
        <w:trPr>
          <w:cantSplit/>
        </w:trPr>
        <w:tc>
          <w:tcPr>
            <w:tcW w:type="dxa" w:w="2088"/>
          </w:tcPr>
          <w:p>
            <w:pPr>
              <w:spacing w:after="60" w:before="60" w:line="240" w:lineRule="auto"/>
            </w:pPr>
            <w:r>
              <w:rPr>
                <w:b w:val="0"/>
                <w:sz w:val="18"/>
              </w:rPr>
              <w:t>Pooled accounting</w:t>
            </w:r>
          </w:p>
        </w:tc>
        <w:tc>
          <w:tcPr>
            <w:tcW w:type="dxa" w:w="7171"/>
          </w:tcPr>
          <w:p>
            <w:pPr>
              <w:spacing w:after="60" w:before="60" w:line="240" w:lineRule="auto"/>
            </w:pPr>
            <w:r>
              <w:rPr>
                <w:b w:val="0"/>
                <w:sz w:val="18"/>
              </w:rPr>
              <w:t>Sum counts, slots and excess over the four later blocks; divide total loss by total records to obtain loss per 100. Spare slots in one block do not offset excess in another.</w:t>
            </w:r>
          </w:p>
        </w:tc>
      </w:tr>
      <w:tr>
        <w:trPr>
          <w:cantSplit/>
        </w:trPr>
        <w:tc>
          <w:tcPr>
            <w:tcW w:type="dxa" w:w="2088"/>
          </w:tcPr>
          <w:p>
            <w:pPr>
              <w:spacing w:after="60" w:before="60" w:line="240" w:lineRule="auto"/>
            </w:pPr>
            <w:r>
              <w:rPr>
                <w:b w:val="0"/>
                <w:sz w:val="18"/>
              </w:rPr>
              <w:t>Operational evidence</w:t>
            </w:r>
          </w:p>
        </w:tc>
        <w:tc>
          <w:tcPr>
            <w:tcW w:type="dxa" w:w="7171"/>
          </w:tcPr>
          <w:p>
            <w:pPr>
              <w:spacing w:after="60" w:before="60" w:line="240" w:lineRule="auto"/>
            </w:pPr>
            <w:r>
              <w:rPr>
                <w:b w:val="0"/>
                <w:sz w:val="18"/>
              </w:rPr>
              <w:t>Actual inspection execution and accident prevention are not observed. Capacity and relative costs are explicit hypothetical decision settings.</w:t>
            </w:r>
          </w:p>
        </w:tc>
      </w:tr>
    </w:tbl>
    <w:p>
      <w:pPr>
        <w:jc w:val="both"/>
      </w:pPr>
      <w:r>
        <w:t>These assumptions define how frozen warning rules create inspection demand. The evaluation connects hazardous-shift coverage to relative loss and workload; excess demand remains in the alert counts. Detections count hazardous shifts flagged, while dispatch, queueing and safety interventions are outside the evaluated process.</w:t>
      </w:r>
    </w:p>
    <w:p>
      <w:pPr>
        <w:pStyle w:val="Heading1"/>
        <w:pageBreakBefore/>
      </w:pPr>
      <w:r>
        <w:t>3 Decision value relative to no alarms</w:t>
      </w:r>
    </w:p>
    <w:p>
      <w:pPr>
        <w:pStyle w:val="Caption"/>
      </w:pPr>
      <w:r>
        <w:t>Table 3. Pooled fixed XGBoost decision value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L100</w:t>
            </w:r>
          </w:p>
        </w:tc>
        <w:tc>
          <w:tcPr>
            <w:tcW w:type="dxa" w:w="1323"/>
            <w:shd w:fill="EEEEEE"/>
          </w:tcPr>
          <w:p>
            <w:pPr>
              <w:spacing w:after="60" w:before="60" w:line="240" w:lineRule="auto"/>
            </w:pPr>
            <w:r>
              <w:rPr>
                <w:b/>
                <w:sz w:val="18"/>
              </w:rPr>
              <w:t>Δ vs none</w:t>
            </w:r>
          </w:p>
        </w:tc>
        <w:tc>
          <w:tcPr>
            <w:tcW w:type="dxa" w:w="1323"/>
            <w:shd w:fill="EEEEEE"/>
          </w:tcPr>
          <w:p>
            <w:pPr>
              <w:spacing w:after="60" w:before="60" w:line="240" w:lineRule="auto"/>
            </w:pPr>
            <w:r>
              <w:rPr>
                <w:b/>
                <w:sz w:val="18"/>
              </w:rPr>
              <w:t>Alerts</w:t>
            </w:r>
          </w:p>
        </w:tc>
        <w:tc>
          <w:tcPr>
            <w:tcW w:type="dxa" w:w="1323"/>
            <w:shd w:fill="EEEEEE"/>
          </w:tcPr>
          <w:p>
            <w:pPr>
              <w:spacing w:after="60" w:before="60" w:line="240" w:lineRule="auto"/>
            </w:pPr>
            <w:r>
              <w:rPr>
                <w:b/>
                <w:sz w:val="18"/>
              </w:rPr>
              <w:t>TP</w:t>
            </w:r>
          </w:p>
        </w:tc>
        <w:tc>
          <w:tcPr>
            <w:tcW w:type="dxa" w:w="1323"/>
            <w:shd w:fill="EEEEEE"/>
          </w:tcPr>
          <w:p>
            <w:pPr>
              <w:spacing w:after="60" w:before="60" w:line="240" w:lineRule="auto"/>
            </w:pPr>
            <w:r>
              <w:rPr>
                <w:b/>
                <w:sz w:val="18"/>
              </w:rPr>
              <w:t>FN</w:t>
            </w:r>
          </w:p>
        </w:tc>
      </w:tr>
      <w:tr>
        <w:trPr>
          <w:cantSplit/>
        </w:trPr>
        <w:tc>
          <w:tcPr>
            <w:tcW w:type="dxa" w:w="1323"/>
          </w:tcPr>
          <w:p>
            <w:pPr>
              <w:spacing w:after="60" w:before="60" w:line="240" w:lineRule="auto"/>
            </w:pPr>
            <w:r>
              <w:rPr>
                <w:b w:val="0"/>
                <w:sz w:val="18"/>
              </w:rPr>
              <w:t>none</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45.52</w:t>
            </w:r>
          </w:p>
        </w:tc>
        <w:tc>
          <w:tcPr>
            <w:tcW w:type="dxa" w:w="1323"/>
          </w:tcPr>
          <w:p>
            <w:pPr>
              <w:spacing w:after="60" w:before="60" w:line="240" w:lineRule="auto"/>
            </w:pPr>
            <w:r>
              <w:rPr>
                <w:b w:val="0"/>
                <w:sz w:val="18"/>
              </w:rPr>
              <w:t>2.86</w:t>
            </w:r>
          </w:p>
        </w:tc>
        <w:tc>
          <w:tcPr>
            <w:tcW w:type="dxa" w:w="1323"/>
          </w:tcPr>
          <w:p>
            <w:pPr>
              <w:spacing w:after="60" w:before="60" w:line="240" w:lineRule="auto"/>
            </w:pPr>
            <w:r>
              <w:rPr>
                <w:b w:val="0"/>
                <w:sz w:val="18"/>
              </w:rPr>
              <w:t>59</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45.90</w:t>
            </w:r>
          </w:p>
        </w:tc>
        <w:tc>
          <w:tcPr>
            <w:tcW w:type="dxa" w:w="1323"/>
          </w:tcPr>
          <w:p>
            <w:pPr>
              <w:spacing w:after="60" w:before="60" w:line="240" w:lineRule="auto"/>
            </w:pPr>
            <w:r>
              <w:rPr>
                <w:b w:val="0"/>
                <w:sz w:val="18"/>
              </w:rPr>
              <w:t>3.25</w:t>
            </w:r>
          </w:p>
        </w:tc>
        <w:tc>
          <w:tcPr>
            <w:tcW w:type="dxa" w:w="1323"/>
          </w:tcPr>
          <w:p>
            <w:pPr>
              <w:spacing w:after="60" w:before="60" w:line="240" w:lineRule="auto"/>
            </w:pPr>
            <w:r>
              <w:rPr>
                <w:b w:val="0"/>
                <w:sz w:val="18"/>
              </w:rPr>
              <w:t>166</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79</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47.21</w:t>
            </w:r>
          </w:p>
        </w:tc>
        <w:tc>
          <w:tcPr>
            <w:tcW w:type="dxa" w:w="1323"/>
          </w:tcPr>
          <w:p>
            <w:pPr>
              <w:spacing w:after="60" w:before="60" w:line="240" w:lineRule="auto"/>
            </w:pPr>
            <w:r>
              <w:rPr>
                <w:b w:val="0"/>
                <w:sz w:val="18"/>
              </w:rPr>
              <w:t>4.56</w:t>
            </w:r>
          </w:p>
        </w:tc>
        <w:tc>
          <w:tcPr>
            <w:tcW w:type="dxa" w:w="1323"/>
          </w:tcPr>
          <w:p>
            <w:pPr>
              <w:spacing w:after="60" w:before="60" w:line="240" w:lineRule="auto"/>
            </w:pPr>
            <w:r>
              <w:rPr>
                <w:b w:val="0"/>
                <w:sz w:val="18"/>
              </w:rPr>
              <w:t>248</w:t>
            </w:r>
          </w:p>
        </w:tc>
        <w:tc>
          <w:tcPr>
            <w:tcW w:type="dxa" w:w="1323"/>
          </w:tcPr>
          <w:p>
            <w:pPr>
              <w:spacing w:after="60" w:before="60" w:line="240" w:lineRule="auto"/>
            </w:pPr>
            <w:r>
              <w:rPr>
                <w:b w:val="0"/>
                <w:sz w:val="18"/>
              </w:rPr>
              <w:t>14</w:t>
            </w:r>
          </w:p>
        </w:tc>
        <w:tc>
          <w:tcPr>
            <w:tcW w:type="dxa" w:w="1323"/>
          </w:tcPr>
          <w:p>
            <w:pPr>
              <w:spacing w:after="60" w:before="60" w:line="240" w:lineRule="auto"/>
            </w:pPr>
            <w:r>
              <w:rPr>
                <w:b w:val="0"/>
                <w:sz w:val="18"/>
              </w:rPr>
              <w:t>74</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56.33</w:t>
            </w:r>
          </w:p>
        </w:tc>
        <w:tc>
          <w:tcPr>
            <w:tcW w:type="dxa" w:w="1323"/>
          </w:tcPr>
          <w:p>
            <w:pPr>
              <w:spacing w:after="60" w:before="60" w:line="240" w:lineRule="auto"/>
            </w:pPr>
            <w:r>
              <w:rPr>
                <w:b w:val="0"/>
                <w:sz w:val="18"/>
              </w:rPr>
              <w:t>13.67</w:t>
            </w:r>
          </w:p>
        </w:tc>
        <w:tc>
          <w:tcPr>
            <w:tcW w:type="dxa" w:w="1323"/>
          </w:tcPr>
          <w:p>
            <w:pPr>
              <w:spacing w:after="60" w:before="60" w:line="240" w:lineRule="auto"/>
            </w:pPr>
            <w:r>
              <w:rPr>
                <w:b w:val="0"/>
                <w:sz w:val="18"/>
              </w:rPr>
              <w:t>557</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63</w:t>
            </w:r>
          </w:p>
        </w:tc>
      </w:tr>
      <w:tr>
        <w:trPr>
          <w:cantSplit/>
        </w:trPr>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44.06</w:t>
            </w:r>
          </w:p>
        </w:tc>
        <w:tc>
          <w:tcPr>
            <w:tcW w:type="dxa" w:w="1323"/>
          </w:tcPr>
          <w:p>
            <w:pPr>
              <w:spacing w:after="60" w:before="60" w:line="240" w:lineRule="auto"/>
            </w:pPr>
            <w:r>
              <w:rPr>
                <w:b w:val="0"/>
                <w:sz w:val="18"/>
              </w:rPr>
              <w:t>1.41</w:t>
            </w:r>
          </w:p>
        </w:tc>
        <w:tc>
          <w:tcPr>
            <w:tcW w:type="dxa" w:w="1323"/>
          </w:tcPr>
          <w:p>
            <w:pPr>
              <w:spacing w:after="60" w:before="60" w:line="240" w:lineRule="auto"/>
            </w:pPr>
            <w:r>
              <w:rPr>
                <w:b w:val="0"/>
                <w:sz w:val="18"/>
              </w:rPr>
              <w:t>414</w:t>
            </w:r>
          </w:p>
        </w:tc>
        <w:tc>
          <w:tcPr>
            <w:tcW w:type="dxa" w:w="1323"/>
          </w:tcPr>
          <w:p>
            <w:pPr>
              <w:spacing w:after="60" w:before="60" w:line="240" w:lineRule="auto"/>
            </w:pPr>
            <w:r>
              <w:rPr>
                <w:b w:val="0"/>
                <w:sz w:val="18"/>
              </w:rPr>
              <w:t>35</w:t>
            </w:r>
          </w:p>
        </w:tc>
        <w:tc>
          <w:tcPr>
            <w:tcW w:type="dxa" w:w="1323"/>
          </w:tcPr>
          <w:p>
            <w:pPr>
              <w:spacing w:after="60" w:before="60" w:line="240" w:lineRule="auto"/>
            </w:pPr>
            <w:r>
              <w:rPr>
                <w:b w:val="0"/>
                <w:sz w:val="18"/>
              </w:rPr>
              <w:t>53</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43.33</w:t>
            </w:r>
          </w:p>
        </w:tc>
        <w:tc>
          <w:tcPr>
            <w:tcW w:type="dxa" w:w="1323"/>
          </w:tcPr>
          <w:p>
            <w:pPr>
              <w:spacing w:after="60" w:before="60" w:line="240" w:lineRule="auto"/>
            </w:pPr>
            <w:r>
              <w:rPr>
                <w:b w:val="0"/>
                <w:sz w:val="18"/>
              </w:rPr>
              <w:t>0.68</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43.48</w:t>
            </w:r>
          </w:p>
        </w:tc>
        <w:tc>
          <w:tcPr>
            <w:tcW w:type="dxa" w:w="1323"/>
          </w:tcPr>
          <w:p>
            <w:pPr>
              <w:spacing w:after="60" w:before="60" w:line="240" w:lineRule="auto"/>
            </w:pPr>
            <w:r>
              <w:rPr>
                <w:b w:val="0"/>
                <w:sz w:val="18"/>
              </w:rPr>
              <w:t>0.82</w:t>
            </w:r>
          </w:p>
        </w:tc>
        <w:tc>
          <w:tcPr>
            <w:tcW w:type="dxa" w:w="1323"/>
          </w:tcPr>
          <w:p>
            <w:pPr>
              <w:spacing w:after="60" w:before="60" w:line="240" w:lineRule="auto"/>
            </w:pPr>
            <w:r>
              <w:rPr>
                <w:b w:val="0"/>
                <w:sz w:val="18"/>
              </w:rPr>
              <w:t>28</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43.24</w:t>
            </w:r>
          </w:p>
        </w:tc>
        <w:tc>
          <w:tcPr>
            <w:tcW w:type="dxa" w:w="1323"/>
          </w:tcPr>
          <w:p>
            <w:pPr>
              <w:spacing w:after="60" w:before="60" w:line="240" w:lineRule="auto"/>
            </w:pPr>
            <w:r>
              <w:rPr>
                <w:b w:val="0"/>
                <w:sz w:val="18"/>
              </w:rPr>
              <w:t>0.58</w:t>
            </w:r>
          </w:p>
        </w:tc>
        <w:tc>
          <w:tcPr>
            <w:tcW w:type="dxa" w:w="1323"/>
          </w:tcPr>
          <w:p>
            <w:pPr>
              <w:spacing w:after="60" w:before="60" w:line="240" w:lineRule="auto"/>
            </w:pPr>
            <w:r>
              <w:rPr>
                <w:b w:val="0"/>
                <w:sz w:val="18"/>
              </w:rPr>
              <w:t>34</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pPr>
      <w:r>
        <w:t>Table 4. Phase-specific loss relative to no alarms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Phase</w:t>
            </w:r>
          </w:p>
        </w:tc>
        <w:tc>
          <w:tcPr>
            <w:tcW w:type="dxa" w:w="1852"/>
            <w:shd w:fill="EEEEEE"/>
          </w:tcPr>
          <w:p>
            <w:pPr>
              <w:spacing w:after="60" w:before="60" w:line="240" w:lineRule="auto"/>
            </w:pPr>
            <w:r>
              <w:rPr>
                <w:b/>
                <w:sz w:val="18"/>
              </w:rPr>
              <w:t>No-alarm L100</w:t>
            </w:r>
          </w:p>
        </w:tc>
        <w:tc>
          <w:tcPr>
            <w:tcW w:type="dxa" w:w="1852"/>
            <w:shd w:fill="EEEEEE"/>
          </w:tcPr>
          <w:p>
            <w:pPr>
              <w:spacing w:after="60" w:before="60" w:line="240" w:lineRule="auto"/>
            </w:pPr>
            <w:r>
              <w:rPr>
                <w:b/>
                <w:sz w:val="18"/>
              </w:rPr>
              <w:t>A Δ range</w:t>
            </w:r>
          </w:p>
        </w:tc>
        <w:tc>
          <w:tcPr>
            <w:tcW w:type="dxa" w:w="1852"/>
            <w:shd w:fill="EEEEEE"/>
          </w:tcPr>
          <w:p>
            <w:pPr>
              <w:spacing w:after="60" w:before="60" w:line="240" w:lineRule="auto"/>
            </w:pPr>
            <w:r>
              <w:rPr>
                <w:b/>
                <w:sz w:val="18"/>
              </w:rPr>
              <w:t>B Δ</w:t>
            </w:r>
          </w:p>
        </w:tc>
        <w:tc>
          <w:tcPr>
            <w:tcW w:type="dxa" w:w="1852"/>
            <w:shd w:fill="EEEEEE"/>
          </w:tcPr>
          <w:p>
            <w:pPr>
              <w:spacing w:after="60" w:before="60" w:line="240" w:lineRule="auto"/>
            </w:pPr>
            <w:r>
              <w:rPr>
                <w:b/>
                <w:sz w:val="18"/>
              </w:rPr>
              <w:t>C Δ range</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69.77</w:t>
            </w:r>
          </w:p>
        </w:tc>
        <w:tc>
          <w:tcPr>
            <w:tcW w:type="dxa" w:w="1852"/>
          </w:tcPr>
          <w:p>
            <w:pPr>
              <w:spacing w:after="60" w:before="60" w:line="240" w:lineRule="auto"/>
            </w:pPr>
            <w:r>
              <w:rPr>
                <w:b w:val="0"/>
                <w:sz w:val="18"/>
              </w:rPr>
              <w:t>-0.19 to 2.13</w:t>
            </w:r>
          </w:p>
        </w:tc>
        <w:tc>
          <w:tcPr>
            <w:tcW w:type="dxa" w:w="1852"/>
          </w:tcPr>
          <w:p>
            <w:pPr>
              <w:spacing w:after="60" w:before="60" w:line="240" w:lineRule="auto"/>
            </w:pPr>
            <w:r>
              <w:rPr>
                <w:b w:val="0"/>
                <w:sz w:val="18"/>
              </w:rPr>
              <w:t>4.46</w:t>
            </w:r>
          </w:p>
        </w:tc>
        <w:tc>
          <w:tcPr>
            <w:tcW w:type="dxa" w:w="1852"/>
          </w:tcPr>
          <w:p>
            <w:pPr>
              <w:spacing w:after="60" w:before="60" w:line="240" w:lineRule="auto"/>
            </w:pPr>
            <w:r>
              <w:rPr>
                <w:b w:val="0"/>
                <w:sz w:val="18"/>
              </w:rPr>
              <w:t>0.00 to 2.13</w:t>
            </w:r>
          </w:p>
        </w:tc>
      </w:tr>
      <w:tr>
        <w:trPr>
          <w:cantSplit/>
        </w:trPr>
        <w:tc>
          <w:tcPr>
            <w:tcW w:type="dxa" w:w="1852"/>
          </w:tcPr>
          <w:p>
            <w:pPr>
              <w:spacing w:after="60" w:before="60" w:line="240" w:lineRule="auto"/>
            </w:pPr>
            <w:r>
              <w:rPr>
                <w:b w:val="0"/>
                <w:sz w:val="18"/>
              </w:rPr>
              <w:t>2</w:t>
            </w:r>
          </w:p>
        </w:tc>
        <w:tc>
          <w:tcPr>
            <w:tcW w:type="dxa" w:w="1852"/>
          </w:tcPr>
          <w:p>
            <w:pPr>
              <w:spacing w:after="60" w:before="60" w:line="240" w:lineRule="auto"/>
            </w:pPr>
            <w:r>
              <w:rPr>
                <w:b w:val="0"/>
                <w:sz w:val="18"/>
              </w:rPr>
              <w:t>19.42</w:t>
            </w:r>
          </w:p>
        </w:tc>
        <w:tc>
          <w:tcPr>
            <w:tcW w:type="dxa" w:w="1852"/>
          </w:tcPr>
          <w:p>
            <w:pPr>
              <w:spacing w:after="60" w:before="60" w:line="240" w:lineRule="auto"/>
            </w:pPr>
            <w:r>
              <w:rPr>
                <w:b w:val="0"/>
                <w:sz w:val="18"/>
              </w:rPr>
              <w:t>7.18 to 36.50</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3</w:t>
            </w:r>
          </w:p>
        </w:tc>
        <w:tc>
          <w:tcPr>
            <w:tcW w:type="dxa" w:w="1852"/>
          </w:tcPr>
          <w:p>
            <w:pPr>
              <w:spacing w:after="60" w:before="60" w:line="240" w:lineRule="auto"/>
            </w:pPr>
            <w:r>
              <w:rPr>
                <w:b w:val="0"/>
                <w:sz w:val="18"/>
              </w:rPr>
              <w:t>46.51</w:t>
            </w:r>
          </w:p>
        </w:tc>
        <w:tc>
          <w:tcPr>
            <w:tcW w:type="dxa" w:w="1852"/>
          </w:tcPr>
          <w:p>
            <w:pPr>
              <w:spacing w:after="60" w:before="60" w:line="240" w:lineRule="auto"/>
            </w:pPr>
            <w:r>
              <w:rPr>
                <w:b w:val="0"/>
                <w:sz w:val="18"/>
              </w:rPr>
              <w:t>-2.13 to 11.63</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4</w:t>
            </w:r>
          </w:p>
        </w:tc>
        <w:tc>
          <w:tcPr>
            <w:tcW w:type="dxa" w:w="1852"/>
          </w:tcPr>
          <w:p>
            <w:pPr>
              <w:spacing w:after="60" w:before="60" w:line="240" w:lineRule="auto"/>
            </w:pPr>
            <w:r>
              <w:rPr>
                <w:b w:val="0"/>
                <w:sz w:val="18"/>
              </w:rPr>
              <w:t>34.88</w:t>
            </w:r>
          </w:p>
        </w:tc>
        <w:tc>
          <w:tcPr>
            <w:tcW w:type="dxa" w:w="1852"/>
          </w:tcPr>
          <w:p>
            <w:pPr>
              <w:spacing w:after="60" w:before="60" w:line="240" w:lineRule="auto"/>
            </w:pPr>
            <w:r>
              <w:rPr>
                <w:b w:val="0"/>
                <w:sz w:val="18"/>
              </w:rPr>
              <w:t>0.19 to 6.78</w:t>
            </w:r>
          </w:p>
        </w:tc>
        <w:tc>
          <w:tcPr>
            <w:tcW w:type="dxa" w:w="1852"/>
          </w:tcPr>
          <w:p>
            <w:pPr>
              <w:spacing w:after="60" w:before="60" w:line="240" w:lineRule="auto"/>
            </w:pPr>
            <w:r>
              <w:rPr>
                <w:b w:val="0"/>
                <w:sz w:val="18"/>
              </w:rPr>
              <w:t>1.16</w:t>
            </w:r>
          </w:p>
        </w:tc>
        <w:tc>
          <w:tcPr>
            <w:tcW w:type="dxa" w:w="1852"/>
          </w:tcPr>
          <w:p>
            <w:pPr>
              <w:spacing w:after="60" w:before="60" w:line="240" w:lineRule="auto"/>
            </w:pPr>
            <w:r>
              <w:rPr>
                <w:b w:val="0"/>
                <w:sz w:val="18"/>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A lower loss than another warning rule does not establish value over no alarms. C can reduce workload and loss relative to A while retaining positive ΔLnone,100. No alarms incur the cost of every missed hazardous shift and detect none; their role here is a loss reference, not an operational recommendation. Complete files retain all costs, models, workflows and the descriptive holdout; r=10 is the common display scale.</w:t>
      </w:r>
    </w:p>
    <w:p>
      <w:pPr>
        <w:pStyle w:val="Heading1"/>
        <w:pageBreakBefore/>
      </w:pPr>
      <w:r>
        <w:t>4 Budget thresholds and future capacity</w:t>
      </w:r>
    </w:p>
    <w:p>
      <w:pPr>
        <w:pStyle w:val="Caption"/>
      </w:pPr>
      <w:r>
        <w:t>Table 5. Fixed XGBoost budget rule A across all phases and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Phase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Ref alerts</w:t>
            </w:r>
          </w:p>
        </w:tc>
        <w:tc>
          <w:tcPr>
            <w:tcW w:type="dxa" w:w="1157"/>
            <w:shd w:fill="EEEEEE"/>
          </w:tcPr>
          <w:p>
            <w:pPr>
              <w:spacing w:after="60" w:before="60" w:line="240" w:lineRule="auto"/>
            </w:pPr>
            <w:r>
              <w:rPr>
                <w:b/>
                <w:sz w:val="18"/>
              </w:rPr>
              <w:t>Test 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c>
          <w:tcPr>
            <w:tcW w:type="dxa" w:w="1157"/>
            <w:shd w:fill="EEEEEE"/>
          </w:tcPr>
          <w:p>
            <w:pPr>
              <w:spacing w:after="60" w:before="60" w:line="240" w:lineRule="auto"/>
            </w:pPr>
            <w:r>
              <w:rPr>
                <w:b/>
                <w:sz w:val="18"/>
              </w:rPr>
              <w:t>L100 r=10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71.32</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71.71</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71.90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69.57</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26.60</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42</w:t>
            </w:r>
          </w:p>
        </w:tc>
        <w:tc>
          <w:tcPr>
            <w:tcW w:type="dxa" w:w="1157"/>
          </w:tcPr>
          <w:p>
            <w:pPr>
              <w:spacing w:after="60" w:before="60" w:line="240" w:lineRule="auto"/>
            </w:pPr>
            <w:r>
              <w:rPr>
                <w:b w:val="0"/>
                <w:sz w:val="18"/>
              </w:rPr>
              <w:t>32.43</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113</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34.95</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254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151</w:t>
            </w:r>
          </w:p>
        </w:tc>
        <w:tc>
          <w:tcPr>
            <w:tcW w:type="dxa" w:w="1157"/>
          </w:tcPr>
          <w:p>
            <w:pPr>
              <w:spacing w:after="60" w:before="60" w:line="240" w:lineRule="auto"/>
            </w:pPr>
            <w:r>
              <w:rPr>
                <w:b w:val="0"/>
                <w:sz w:val="18"/>
              </w:rPr>
              <w:t>55.92</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48.06</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55</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30</w:t>
            </w:r>
          </w:p>
        </w:tc>
        <w:tc>
          <w:tcPr>
            <w:tcW w:type="dxa" w:w="1157"/>
          </w:tcPr>
          <w:p>
            <w:pPr>
              <w:spacing w:after="60" w:before="60" w:line="240" w:lineRule="auto"/>
            </w:pPr>
            <w:r>
              <w:rPr>
                <w:b w:val="0"/>
                <w:sz w:val="18"/>
              </w:rPr>
              <w:t>44.38</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71</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17</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45.35</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170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58.14</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36.05</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35.08</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53</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36.63</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82</w:t>
            </w:r>
          </w:p>
        </w:tc>
        <w:tc>
          <w:tcPr>
            <w:tcW w:type="dxa" w:w="1157"/>
          </w:tcPr>
          <w:p>
            <w:pPr>
              <w:spacing w:after="60" w:before="60" w:line="240" w:lineRule="auto"/>
            </w:pPr>
            <w:r>
              <w:rPr>
                <w:b w:val="0"/>
                <w:sz w:val="18"/>
              </w:rPr>
              <w:t>112</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jc w:val="center"/>
      </w:pPr>
      <w:r>
        <w:drawing>
          <wp:inline xmlns:a="http://schemas.openxmlformats.org/drawingml/2006/main" xmlns:pic="http://schemas.openxmlformats.org/drawingml/2006/picture">
            <wp:extent cx="5394960" cy="3520440"/>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394960" cy="3520440"/>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one decimal.</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jc w:val="center"/>
      </w:pPr>
      <w:r>
        <w:drawing>
          <wp:inline xmlns:a="http://schemas.openxmlformats.org/drawingml/2006/main" xmlns:pic="http://schemas.openxmlformats.org/drawingml/2006/picture">
            <wp:extent cx="5394960" cy="3520440"/>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394960" cy="3520440"/>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pPr>
      <w:r>
        <w:t>Table 6. Historical reasons for all 40 fixed XGBoost C no-alarm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No ref +</w:t>
            </w:r>
          </w:p>
        </w:tc>
        <w:tc>
          <w:tcPr>
            <w:tcW w:type="dxa" w:w="1543"/>
            <w:shd w:fill="EEEEEE"/>
          </w:tcPr>
          <w:p>
            <w:pPr>
              <w:spacing w:after="60" w:before="60" w:line="240" w:lineRule="auto"/>
            </w:pPr>
            <w:r>
              <w:rPr>
                <w:b/>
                <w:sz w:val="18"/>
              </w:rPr>
              <w:t>Cost optimum</w:t>
            </w:r>
          </w:p>
        </w:tc>
        <w:tc>
          <w:tcPr>
            <w:tcW w:type="dxa" w:w="1543"/>
            <w:shd w:fill="EEEEEE"/>
          </w:tcPr>
          <w:p>
            <w:pPr>
              <w:spacing w:after="60" w:before="60" w:line="240" w:lineRule="auto"/>
            </w:pPr>
            <w:r>
              <w:rPr>
                <w:b/>
                <w:sz w:val="18"/>
              </w:rPr>
              <w:t>Capacity change</w:t>
            </w:r>
          </w:p>
        </w:tc>
        <w:tc>
          <w:tcPr>
            <w:tcW w:type="dxa" w:w="1543"/>
            <w:shd w:fill="EEEEEE"/>
          </w:tcPr>
          <w:p>
            <w:pPr>
              <w:spacing w:after="60" w:before="60" w:line="240" w:lineRule="auto"/>
            </w:pPr>
            <w:r>
              <w:rPr>
                <w:b/>
                <w:sz w:val="18"/>
              </w:rPr>
              <w:t>Zero slots</w:t>
            </w:r>
          </w:p>
        </w:tc>
        <w:tc>
          <w:tcPr>
            <w:tcW w:type="dxa" w:w="1543"/>
            <w:shd w:fill="EEEEEE"/>
          </w:tcPr>
          <w:p>
            <w:pPr>
              <w:spacing w:after="60" w:before="60" w:line="240" w:lineRule="auto"/>
            </w:pPr>
            <w:r>
              <w:rPr>
                <w:b/>
                <w:sz w:val="18"/>
              </w:rPr>
              <w:t>Other optimal tie</w:t>
            </w:r>
          </w:p>
        </w:tc>
      </w:tr>
      <w:tr>
        <w:trPr>
          <w:cantSplit/>
        </w:trPr>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pPr>
      <w:r>
        <w:t>Table 7. Reference capacity and standardized selection margin</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Phase</w:t>
            </w:r>
          </w:p>
        </w:tc>
        <w:tc>
          <w:tcPr>
            <w:tcW w:type="dxa" w:w="3086"/>
            <w:shd w:fill="EEEEEE"/>
          </w:tcPr>
          <w:p>
            <w:pPr>
              <w:spacing w:after="60" w:before="60" w:line="240" w:lineRule="auto"/>
            </w:pPr>
            <w:r>
              <w:rPr>
                <w:b/>
                <w:sz w:val="18"/>
              </w:rPr>
              <w:t>Unconstrained cost optimum exceeds reference capacity</w:t>
            </w:r>
          </w:p>
        </w:tc>
        <w:tc>
          <w:tcPr>
            <w:tcW w:type="dxa" w:w="3086"/>
            <w:shd w:fill="EEEEEE"/>
          </w:tcPr>
          <w:p>
            <w:pPr>
              <w:spacing w:after="60" w:before="60" w:line="240" w:lineRule="auto"/>
            </w:pPr>
            <w:r>
              <w:rPr>
                <w:b/>
                <w:sz w:val="18"/>
              </w:rPr>
              <w:t>Next-decision ΔL100 range</w:t>
            </w:r>
          </w:p>
        </w:tc>
      </w:tr>
      <w:tr>
        <w:trPr>
          <w:cantSplit/>
        </w:trPr>
        <w:tc>
          <w:tcPr>
            <w:tcW w:type="dxa" w:w="3086"/>
          </w:tcPr>
          <w:p>
            <w:pPr>
              <w:spacing w:after="60" w:before="60" w:line="240" w:lineRule="auto"/>
            </w:pPr>
            <w:r>
              <w:rPr>
                <w:b w:val="0"/>
                <w:sz w:val="18"/>
              </w:rPr>
              <w:t>1</w:t>
            </w:r>
          </w:p>
        </w:tc>
        <w:tc>
          <w:tcPr>
            <w:tcW w:type="dxa" w:w="3086"/>
          </w:tcPr>
          <w:p>
            <w:pPr>
              <w:spacing w:after="60" w:before="60" w:line="240" w:lineRule="auto"/>
            </w:pPr>
            <w:r>
              <w:rPr>
                <w:b w:val="0"/>
                <w:sz w:val="18"/>
              </w:rPr>
              <w:t>16</w:t>
            </w:r>
          </w:p>
        </w:tc>
        <w:tc>
          <w:tcPr>
            <w:tcW w:type="dxa" w:w="3086"/>
          </w:tcPr>
          <w:p>
            <w:pPr>
              <w:spacing w:after="60" w:before="60" w:line="240" w:lineRule="auto"/>
            </w:pPr>
            <w:r>
              <w:rPr>
                <w:b w:val="0"/>
                <w:sz w:val="18"/>
              </w:rPr>
              <w:t>0.97 to 42.72</w:t>
            </w:r>
          </w:p>
        </w:tc>
      </w:tr>
      <w:tr>
        <w:trPr>
          <w:cantSplit/>
        </w:trPr>
        <w:tc>
          <w:tcPr>
            <w:tcW w:type="dxa" w:w="3086"/>
          </w:tcPr>
          <w:p>
            <w:pPr>
              <w:spacing w:after="60" w:before="60" w:line="240" w:lineRule="auto"/>
            </w:pPr>
            <w:r>
              <w:rPr>
                <w:b w:val="0"/>
                <w:sz w:val="18"/>
              </w:rPr>
              <w:t>2</w:t>
            </w:r>
          </w:p>
        </w:tc>
        <w:tc>
          <w:tcPr>
            <w:tcW w:type="dxa" w:w="3086"/>
          </w:tcPr>
          <w:p>
            <w:pPr>
              <w:spacing w:after="60" w:before="60" w:line="240" w:lineRule="auto"/>
            </w:pPr>
            <w:r>
              <w:rPr>
                <w:b w:val="0"/>
                <w:sz w:val="18"/>
              </w:rPr>
              <w:t>0</w:t>
            </w:r>
          </w:p>
        </w:tc>
        <w:tc>
          <w:tcPr>
            <w:tcW w:type="dxa" w:w="3086"/>
          </w:tcPr>
          <w:p>
            <w:pPr>
              <w:spacing w:after="60" w:before="60" w:line="240" w:lineRule="auto"/>
            </w:pPr>
            <w:r>
              <w:rPr>
                <w:b w:val="0"/>
                <w:sz w:val="18"/>
              </w:rPr>
              <w:t>0.48</w:t>
            </w:r>
          </w:p>
        </w:tc>
      </w:tr>
      <w:tr>
        <w:trPr>
          <w:cantSplit/>
        </w:trPr>
        <w:tc>
          <w:tcPr>
            <w:tcW w:type="dxa" w:w="3086"/>
          </w:tcPr>
          <w:p>
            <w:pPr>
              <w:spacing w:after="60" w:before="60" w:line="240" w:lineRule="auto"/>
            </w:pPr>
            <w:r>
              <w:rPr>
                <w:b w:val="0"/>
                <w:sz w:val="18"/>
              </w:rPr>
              <w:t>3</w:t>
            </w:r>
          </w:p>
        </w:tc>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0.32</w:t>
            </w:r>
          </w:p>
        </w:tc>
      </w:tr>
      <w:tr>
        <w:trPr>
          <w:cantSplit/>
        </w:trPr>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10</w:t>
            </w:r>
          </w:p>
        </w:tc>
        <w:tc>
          <w:tcPr>
            <w:tcW w:type="dxa" w:w="3086"/>
          </w:tcPr>
          <w:p>
            <w:pPr>
              <w:spacing w:after="60" w:before="60" w:line="240" w:lineRule="auto"/>
            </w:pPr>
            <w:r>
              <w:rPr>
                <w:b w:val="0"/>
                <w:sz w:val="18"/>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jc w:val="center"/>
      </w:pPr>
      <w:r>
        <w:drawing>
          <wp:inline xmlns:a="http://schemas.openxmlformats.org/drawingml/2006/main" xmlns:pic="http://schemas.openxmlformats.org/drawingml/2006/picture">
            <wp:extent cx="5394960" cy="3520440"/>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394960" cy="3520440"/>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lower inspection demand.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pPr>
      <w:r>
        <w:t>Table 8. XGBoost refitting across all historically finite and extreme rules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Rule</w:t>
            </w:r>
          </w:p>
        </w:tc>
        <w:tc>
          <w:tcPr>
            <w:tcW w:type="dxa" w:w="1543"/>
            <w:shd w:fill="EEEEEE"/>
          </w:tcPr>
          <w:p>
            <w:pPr>
              <w:spacing w:after="60" w:before="60" w:line="240" w:lineRule="auto"/>
            </w:pPr>
            <w:r>
              <w:rPr>
                <w:b/>
                <w:sz w:val="18"/>
              </w:rPr>
              <w:t>Finite</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Finite ΔL100 range</w:t>
            </w:r>
          </w:p>
        </w:tc>
        <w:tc>
          <w:tcPr>
            <w:tcW w:type="dxa" w:w="1543"/>
            <w:shd w:fill="EEEEEE"/>
          </w:tcPr>
          <w:p>
            <w:pPr>
              <w:spacing w:after="60" w:before="60" w:line="240" w:lineRule="auto"/>
            </w:pPr>
            <w:r>
              <w:rPr>
                <w:b/>
                <w:sz w:val="18"/>
              </w:rPr>
              <w:t>Finite Δ alerts</w:t>
            </w:r>
          </w:p>
        </w:tc>
      </w:tr>
      <w:tr>
        <w:trPr>
          <w:cantSplit/>
        </w:trPr>
        <w:tc>
          <w:tcPr>
            <w:tcW w:type="dxa" w:w="1543"/>
          </w:tcPr>
          <w:p>
            <w:pPr>
              <w:spacing w:after="60" w:before="60" w:line="240" w:lineRule="auto"/>
            </w:pPr>
            <w:r>
              <w:rPr>
                <w:b w:val="0"/>
                <w:sz w:val="18"/>
              </w:rPr>
              <w:t>A</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-18.83 to 18.22</w:t>
            </w:r>
          </w:p>
        </w:tc>
        <w:tc>
          <w:tcPr>
            <w:tcW w:type="dxa" w:w="1543"/>
          </w:tcPr>
          <w:p>
            <w:pPr>
              <w:spacing w:after="60" w:before="60" w:line="240" w:lineRule="auto"/>
            </w:pPr>
            <w:r>
              <w:rPr>
                <w:b w:val="0"/>
                <w:sz w:val="18"/>
              </w:rPr>
              <w:t>-97 to 82</w:t>
            </w:r>
          </w:p>
        </w:tc>
      </w:tr>
      <w:tr>
        <w:trPr>
          <w:cantSplit/>
        </w:trPr>
        <w:tc>
          <w:tcPr>
            <w:tcW w:type="dxa" w:w="1543"/>
          </w:tcPr>
          <w:p>
            <w:pPr>
              <w:spacing w:after="60" w:before="60" w:line="240" w:lineRule="auto"/>
            </w:pPr>
            <w:r>
              <w:rPr>
                <w:b w:val="0"/>
                <w:sz w:val="18"/>
              </w:rPr>
              <w:t>B</w:t>
            </w:r>
          </w:p>
        </w:tc>
        <w:tc>
          <w:tcPr>
            <w:tcW w:type="dxa" w:w="1543"/>
          </w:tcPr>
          <w:p>
            <w:pPr>
              <w:spacing w:after="60" w:before="60" w:line="240" w:lineRule="auto"/>
            </w:pPr>
            <w:r>
              <w:rPr>
                <w:b w:val="0"/>
                <w:sz w:val="18"/>
              </w:rPr>
              <w:t>9</w:t>
            </w:r>
          </w:p>
        </w:tc>
        <w:tc>
          <w:tcPr>
            <w:tcW w:type="dxa" w:w="1543"/>
          </w:tcPr>
          <w:p>
            <w:pPr>
              <w:spacing w:after="60" w:before="60" w:line="240" w:lineRule="auto"/>
            </w:pPr>
            <w:r>
              <w:rPr>
                <w:b w:val="0"/>
                <w:sz w:val="18"/>
              </w:rPr>
              <w:t>7</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-17.64 to 18.80</w:t>
            </w:r>
          </w:p>
        </w:tc>
        <w:tc>
          <w:tcPr>
            <w:tcW w:type="dxa" w:w="1543"/>
          </w:tcPr>
          <w:p>
            <w:pPr>
              <w:spacing w:after="60" w:before="60" w:line="240" w:lineRule="auto"/>
            </w:pPr>
            <w:r>
              <w:rPr>
                <w:b w:val="0"/>
                <w:sz w:val="18"/>
              </w:rPr>
              <w:t>-25 to 119</w:t>
            </w:r>
          </w:p>
        </w:tc>
      </w:tr>
      <w:tr>
        <w:trPr>
          <w:cantSplit/>
        </w:trPr>
        <w:tc>
          <w:tcPr>
            <w:tcW w:type="dxa" w:w="1543"/>
          </w:tcPr>
          <w:p>
            <w:pPr>
              <w:spacing w:after="60" w:before="60" w:line="240" w:lineRule="auto"/>
            </w:pPr>
            <w:r>
              <w:rPr>
                <w:b w:val="0"/>
                <w:sz w:val="18"/>
              </w:rPr>
              <w:t>C</w:t>
            </w:r>
          </w:p>
        </w:tc>
        <w:tc>
          <w:tcPr>
            <w:tcW w:type="dxa" w:w="1543"/>
          </w:tcPr>
          <w:p>
            <w:pPr>
              <w:spacing w:after="60" w:before="60" w:line="240" w:lineRule="auto"/>
            </w:pPr>
            <w:r>
              <w:rPr>
                <w:b w:val="0"/>
                <w:sz w:val="18"/>
              </w:rPr>
              <w:t>24</w:t>
            </w:r>
          </w:p>
        </w:tc>
        <w:tc>
          <w:tcPr>
            <w:tcW w:type="dxa" w:w="1543"/>
          </w:tcPr>
          <w:p>
            <w:pPr>
              <w:spacing w:after="60" w:before="60" w:line="240" w:lineRule="auto"/>
            </w:pPr>
            <w:r>
              <w:rPr>
                <w:b w:val="0"/>
                <w:sz w:val="18"/>
              </w:rPr>
              <w:t>40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-11.05 to 7.75</w:t>
            </w:r>
          </w:p>
        </w:tc>
        <w:tc>
          <w:tcPr>
            <w:tcW w:type="dxa" w:w="1543"/>
          </w:tcPr>
          <w:p>
            <w:pPr>
              <w:spacing w:after="60" w:before="60" w:line="240" w:lineRule="auto"/>
            </w:pPr>
            <w:r>
              <w:rPr>
                <w:b w:val="0"/>
                <w:sz w:val="18"/>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pPr>
      <w:r>
        <w:t>Table 9. Phase-specific interval directions across all 16 settings per contrast</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Contrast</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Point range</w:t>
            </w:r>
          </w:p>
        </w:tc>
        <w:tc>
          <w:tcPr>
            <w:tcW w:type="dxa" w:w="1543"/>
            <w:shd w:fill="EEEEEE"/>
          </w:tcPr>
          <w:p>
            <w:pPr>
              <w:spacing w:after="60" w:before="60" w:line="240" w:lineRule="auto"/>
            </w:pPr>
            <w:r>
              <w:rPr>
                <w:b/>
                <w:sz w:val="18"/>
              </w:rPr>
              <w:t>CI below 0</w:t>
            </w:r>
          </w:p>
        </w:tc>
        <w:tc>
          <w:tcPr>
            <w:tcW w:type="dxa" w:w="1543"/>
            <w:shd w:fill="EEEEEE"/>
          </w:tcPr>
          <w:p>
            <w:pPr>
              <w:spacing w:after="60" w:before="60" w:line="240" w:lineRule="auto"/>
            </w:pPr>
            <w:r>
              <w:rPr>
                <w:b/>
                <w:sz w:val="18"/>
              </w:rPr>
              <w:t>CI above 0</w:t>
            </w:r>
          </w:p>
        </w:tc>
        <w:tc>
          <w:tcPr>
            <w:tcW w:type="dxa" w:w="1543"/>
            <w:shd w:fill="EEEEEE"/>
          </w:tcPr>
          <w:p>
            <w:pPr>
              <w:spacing w:after="60" w:before="60" w:line="240" w:lineRule="auto"/>
            </w:pPr>
            <w:r>
              <w:rPr>
                <w:b/>
                <w:sz w:val="18"/>
              </w:rPr>
              <w:t>CI contains 0</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-1.55 to 9.11</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-42.33 to 10.10</w:t>
            </w:r>
          </w:p>
        </w:tc>
        <w:tc>
          <w:tcPr>
            <w:tcW w:type="dxa" w:w="1543"/>
          </w:tcPr>
          <w:p>
            <w:pPr>
              <w:spacing w:after="60" w:before="60" w:line="240" w:lineRule="auto"/>
            </w:pPr>
            <w:r>
              <w:rPr>
                <w:b w:val="0"/>
                <w:sz w:val="18"/>
              </w:rPr>
              <w:t>13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3</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-21.32 to 65.89</w:t>
            </w:r>
          </w:p>
        </w:tc>
        <w:tc>
          <w:tcPr>
            <w:tcW w:type="dxa" w:w="1543"/>
          </w:tcPr>
          <w:p>
            <w:pPr>
              <w:spacing w:after="60" w:before="60" w:line="240" w:lineRule="auto"/>
            </w:pPr>
            <w:r>
              <w:rPr>
                <w:b w:val="0"/>
                <w:sz w:val="18"/>
              </w:rPr>
              <w:t>6</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5</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-11.43 to 16.47</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-4.46 to 261.24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 to 90.31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-19.19 to 72.09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-1.16 to 7.75</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13</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-11.05 to 0.39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pPr>
      <w:r>
        <w:t>Table 10. Robustness models across the same 16 C settings in each phase</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Model</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C−A L100 range</w:t>
            </w:r>
          </w:p>
        </w:tc>
        <w:tc>
          <w:tcPr>
            <w:tcW w:type="dxa" w:w="1543"/>
            <w:shd w:fill="EEEEEE"/>
          </w:tcPr>
          <w:p>
            <w:pPr>
              <w:spacing w:after="60" w:before="60" w:line="240" w:lineRule="auto"/>
            </w:pPr>
            <w:r>
              <w:rPr>
                <w:b/>
                <w:sz w:val="18"/>
              </w:rPr>
              <w:t>Alert range</w:t>
            </w:r>
          </w:p>
        </w:tc>
        <w:tc>
          <w:tcPr>
            <w:tcW w:type="dxa" w:w="1543"/>
            <w:shd w:fill="EEEEEE"/>
          </w:tcPr>
          <w:p>
            <w:pPr>
              <w:spacing w:after="60" w:before="60" w:line="240" w:lineRule="auto"/>
            </w:pPr>
            <w:r>
              <w:rPr>
                <w:b/>
                <w:sz w:val="18"/>
              </w:rPr>
              <w:t>Excess policies</w:t>
            </w:r>
          </w:p>
        </w:tc>
        <w:tc>
          <w:tcPr>
            <w:tcW w:type="dxa" w:w="1543"/>
            <w:shd w:fill="EEEEEE"/>
          </w:tcPr>
          <w:p>
            <w:pPr>
              <w:spacing w:after="60" w:before="60" w:line="240" w:lineRule="auto"/>
            </w:pPr>
            <w:r>
              <w:rPr>
                <w:b/>
                <w:sz w:val="18"/>
              </w:rPr>
              <w:t>No-alarm policies</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-3.29 to 0.00</w:t>
            </w:r>
          </w:p>
        </w:tc>
        <w:tc>
          <w:tcPr>
            <w:tcW w:type="dxa" w:w="1543"/>
          </w:tcPr>
          <w:p>
            <w:pPr>
              <w:spacing w:after="60" w:before="60" w:line="240" w:lineRule="auto"/>
            </w:pPr>
            <w:r>
              <w:rPr>
                <w:b w:val="0"/>
                <w:sz w:val="18"/>
              </w:rPr>
              <w:t>2–30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-47.38 to 22.52</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-20.93 to 92.44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-18.60 to 9.11</w:t>
            </w:r>
          </w:p>
        </w:tc>
        <w:tc>
          <w:tcPr>
            <w:tcW w:type="dxa" w:w="1543"/>
          </w:tcPr>
          <w:p>
            <w:pPr>
              <w:spacing w:after="60" w:before="60" w:line="240" w:lineRule="auto"/>
            </w:pPr>
            <w:r>
              <w:rPr>
                <w:b w:val="0"/>
                <w:sz w:val="18"/>
              </w:rPr>
              <w:t>4–81</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-0.19 to 9.11</w:t>
            </w:r>
          </w:p>
        </w:tc>
        <w:tc>
          <w:tcPr>
            <w:tcW w:type="dxa" w:w="1543"/>
          </w:tcPr>
          <w:p>
            <w:pPr>
              <w:spacing w:after="60" w:before="60" w:line="240" w:lineRule="auto"/>
            </w:pPr>
            <w:r>
              <w:rPr>
                <w:b w:val="0"/>
                <w:sz w:val="18"/>
              </w:rPr>
              <w:t>0–26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-37.09 to 15.34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-14.92 to 34.69</w:t>
            </w:r>
          </w:p>
        </w:tc>
        <w:tc>
          <w:tcPr>
            <w:tcW w:type="dxa" w:w="1543"/>
          </w:tcPr>
          <w:p>
            <w:pPr>
              <w:spacing w:after="60" w:before="60" w:line="240" w:lineRule="auto"/>
            </w:pPr>
            <w:r>
              <w:rPr>
                <w:b w:val="0"/>
                <w:sz w:val="18"/>
              </w:rPr>
              <w:t>0–55</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-13.95 to 7.17</w:t>
            </w:r>
          </w:p>
        </w:tc>
        <w:tc>
          <w:tcPr>
            <w:tcW w:type="dxa" w:w="1543"/>
          </w:tcPr>
          <w:p>
            <w:pPr>
              <w:spacing w:after="60" w:before="60" w:line="240" w:lineRule="auto"/>
            </w:pPr>
            <w:r>
              <w:rPr>
                <w:b w:val="0"/>
                <w:sz w:val="18"/>
              </w:rPr>
              <w:t>0–92</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pPr>
      <w:r>
        <w:t>Table 11. Pooled prior-shift sensitivity: relative C loss and expected workload</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0.00 to 1.36</w:t>
              <w:br/>
              <w:t>0.00 to 1.63%</w:t>
            </w:r>
          </w:p>
        </w:tc>
        <w:tc>
          <w:tcPr>
            <w:tcW w:type="dxa" w:w="1852"/>
          </w:tcPr>
          <w:p>
            <w:pPr>
              <w:spacing w:after="60" w:before="60" w:line="240" w:lineRule="auto"/>
            </w:pPr>
            <w:r>
              <w:rPr>
                <w:b w:val="0"/>
                <w:sz w:val="18"/>
              </w:rPr>
              <w:t>0.00 to 0.97</w:t>
              <w:br/>
              <w:t>0.00 to 1.65%</w:t>
            </w:r>
          </w:p>
        </w:tc>
        <w:tc>
          <w:tcPr>
            <w:tcW w:type="dxa" w:w="1852"/>
          </w:tcPr>
          <w:p>
            <w:pPr>
              <w:spacing w:after="60" w:before="60" w:line="240" w:lineRule="auto"/>
            </w:pPr>
            <w:r>
              <w:rPr>
                <w:b w:val="0"/>
                <w:sz w:val="18"/>
              </w:rPr>
              <w:t>0.00 to 0.53</w:t>
              <w:br/>
              <w:t>0.00 to 1.69%</w:t>
            </w:r>
          </w:p>
        </w:tc>
        <w:tc>
          <w:tcPr>
            <w:tcW w:type="dxa" w:w="1852"/>
          </w:tcPr>
          <w:p>
            <w:pPr>
              <w:spacing w:after="60" w:before="60" w:line="240" w:lineRule="auto"/>
            </w:pPr>
            <w:r>
              <w:rPr>
                <w:b w:val="0"/>
                <w:sz w:val="18"/>
              </w:rPr>
              <w:t>-0.33 to 0.18</w:t>
              <w:br/>
              <w:t>0.00 to 1.72%</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0.00 to 1.13</w:t>
              <w:br/>
              <w:t>0.00 to 1.63%</w:t>
            </w:r>
          </w:p>
        </w:tc>
        <w:tc>
          <w:tcPr>
            <w:tcW w:type="dxa" w:w="1852"/>
          </w:tcPr>
          <w:p>
            <w:pPr>
              <w:spacing w:after="60" w:before="60" w:line="240" w:lineRule="auto"/>
            </w:pPr>
            <w:r>
              <w:rPr>
                <w:b w:val="0"/>
                <w:sz w:val="18"/>
              </w:rPr>
              <w:t>0.00 to 0.73</w:t>
              <w:br/>
              <w:t>0.00 to 1.65%</w:t>
            </w:r>
          </w:p>
        </w:tc>
        <w:tc>
          <w:tcPr>
            <w:tcW w:type="dxa" w:w="1852"/>
          </w:tcPr>
          <w:p>
            <w:pPr>
              <w:spacing w:after="60" w:before="60" w:line="240" w:lineRule="auto"/>
            </w:pPr>
            <w:r>
              <w:rPr>
                <w:b w:val="0"/>
                <w:sz w:val="18"/>
              </w:rPr>
              <w:t>-0.81 to 0.09</w:t>
              <w:br/>
              <w:t>0.00 to 1.69%</w:t>
            </w:r>
          </w:p>
        </w:tc>
        <w:tc>
          <w:tcPr>
            <w:tcW w:type="dxa" w:w="1852"/>
          </w:tcPr>
          <w:p>
            <w:pPr>
              <w:spacing w:after="60" w:before="60" w:line="240" w:lineRule="auto"/>
            </w:pPr>
            <w:r>
              <w:rPr>
                <w:b w:val="0"/>
                <w:sz w:val="18"/>
              </w:rPr>
              <w:t>-2.03 to 0.00</w:t>
              <w:br/>
              <w:t>0.00 to 1.72%</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0.00 to 1.16</w:t>
              <w:br/>
              <w:t>0.00 to 3.34%</w:t>
            </w:r>
          </w:p>
        </w:tc>
        <w:tc>
          <w:tcPr>
            <w:tcW w:type="dxa" w:w="1852"/>
          </w:tcPr>
          <w:p>
            <w:pPr>
              <w:spacing w:after="60" w:before="60" w:line="240" w:lineRule="auto"/>
            </w:pPr>
            <w:r>
              <w:rPr>
                <w:b w:val="0"/>
                <w:sz w:val="18"/>
              </w:rPr>
              <w:t>-2.56 to 0.02</w:t>
              <w:br/>
              <w:t>0.00 to 3.41%</w:t>
            </w:r>
          </w:p>
        </w:tc>
        <w:tc>
          <w:tcPr>
            <w:tcW w:type="dxa" w:w="1852"/>
          </w:tcPr>
          <w:p>
            <w:pPr>
              <w:spacing w:after="60" w:before="60" w:line="240" w:lineRule="auto"/>
            </w:pPr>
            <w:r>
              <w:rPr>
                <w:b w:val="0"/>
                <w:sz w:val="18"/>
              </w:rPr>
              <w:t>-8.40 to 0.00</w:t>
              <w:br/>
              <w:t>0.00 to 3.53%</w:t>
            </w:r>
          </w:p>
        </w:tc>
        <w:tc>
          <w:tcPr>
            <w:tcW w:type="dxa" w:w="1852"/>
          </w:tcPr>
          <w:p>
            <w:pPr>
              <w:spacing w:after="60" w:before="60" w:line="240" w:lineRule="auto"/>
            </w:pPr>
            <w:r>
              <w:rPr>
                <w:b w:val="0"/>
                <w:sz w:val="18"/>
              </w:rPr>
              <w:t>-14.25 to 0.00</w:t>
              <w:br/>
              <w:t>0.00 to 3.65%</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-1.66 to 0.05</w:t>
              <w:br/>
              <w:t>0.00 to 5.30%</w:t>
            </w:r>
          </w:p>
        </w:tc>
        <w:tc>
          <w:tcPr>
            <w:tcW w:type="dxa" w:w="1852"/>
          </w:tcPr>
          <w:p>
            <w:pPr>
              <w:spacing w:after="60" w:before="60" w:line="240" w:lineRule="auto"/>
            </w:pPr>
            <w:r>
              <w:rPr>
                <w:b w:val="0"/>
                <w:sz w:val="18"/>
              </w:rPr>
              <w:t>-12.04 to 0.00</w:t>
              <w:br/>
              <w:t>0.00 to 5.34%</w:t>
            </w:r>
          </w:p>
        </w:tc>
        <w:tc>
          <w:tcPr>
            <w:tcW w:type="dxa" w:w="1852"/>
          </w:tcPr>
          <w:p>
            <w:pPr>
              <w:spacing w:after="60" w:before="60" w:line="240" w:lineRule="auto"/>
            </w:pPr>
            <w:r>
              <w:rPr>
                <w:b w:val="0"/>
                <w:sz w:val="18"/>
              </w:rPr>
              <w:t>-29.35 to 0.00</w:t>
              <w:br/>
              <w:t>0.00 to 5.42%</w:t>
            </w:r>
          </w:p>
        </w:tc>
        <w:tc>
          <w:tcPr>
            <w:tcW w:type="dxa" w:w="1852"/>
          </w:tcPr>
          <w:p>
            <w:pPr>
              <w:spacing w:after="60" w:before="60" w:line="240" w:lineRule="auto"/>
            </w:pPr>
            <w:r>
              <w:rPr>
                <w:b w:val="0"/>
                <w:sz w:val="18"/>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pPr>
      <w:r>
        <w:t>Table 12. Previously viewed holdout and all 16 C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Model</w:t>
            </w:r>
          </w:p>
        </w:tc>
        <w:tc>
          <w:tcPr>
            <w:tcW w:type="dxa" w:w="1852"/>
            <w:shd w:fill="EEEEEE"/>
          </w:tcPr>
          <w:p>
            <w:pPr>
              <w:spacing w:after="60" w:before="60" w:line="240" w:lineRule="auto"/>
            </w:pPr>
            <w:r>
              <w:rPr>
                <w:b/>
                <w:sz w:val="18"/>
              </w:rPr>
              <w:t>Workflow</w:t>
            </w:r>
          </w:p>
        </w:tc>
        <w:tc>
          <w:tcPr>
            <w:tcW w:type="dxa" w:w="1852"/>
            <w:shd w:fill="EEEEEE"/>
          </w:tcPr>
          <w:p>
            <w:pPr>
              <w:spacing w:after="60" w:before="60" w:line="240" w:lineRule="auto"/>
            </w:pPr>
            <w:r>
              <w:rPr>
                <w:b/>
                <w:sz w:val="18"/>
              </w:rPr>
              <w:t>L100 minus no alarm range</w:t>
            </w:r>
          </w:p>
        </w:tc>
        <w:tc>
          <w:tcPr>
            <w:tcW w:type="dxa" w:w="1852"/>
            <w:shd w:fill="EEEEEE"/>
          </w:tcPr>
          <w:p>
            <w:pPr>
              <w:spacing w:after="60" w:before="60" w:line="240" w:lineRule="auto"/>
            </w:pPr>
            <w:r>
              <w:rPr>
                <w:b/>
                <w:sz w:val="18"/>
              </w:rPr>
              <w:t>Alert range</w:t>
            </w:r>
          </w:p>
        </w:tc>
        <w:tc>
          <w:tcPr>
            <w:tcW w:type="dxa" w:w="1852"/>
            <w:shd w:fill="EEEEEE"/>
          </w:tcPr>
          <w:p>
            <w:pPr>
              <w:spacing w:after="60" w:before="60" w:line="240" w:lineRule="auto"/>
            </w:pPr>
            <w:r>
              <w:rPr>
                <w:b/>
                <w:sz w:val="18"/>
              </w:rPr>
              <w:t>Excess policies</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-31.40 to 0.00</w:t>
            </w:r>
          </w:p>
        </w:tc>
        <w:tc>
          <w:tcPr>
            <w:tcW w:type="dxa" w:w="1852"/>
          </w:tcPr>
          <w:p>
            <w:pPr>
              <w:spacing w:after="60" w:before="60" w:line="240" w:lineRule="auto"/>
            </w:pPr>
            <w:r>
              <w:rPr>
                <w:b w:val="0"/>
                <w:sz w:val="18"/>
              </w:rPr>
              <w:t>0–63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-20.16 to 0.52</w:t>
            </w:r>
          </w:p>
        </w:tc>
        <w:tc>
          <w:tcPr>
            <w:tcW w:type="dxa" w:w="1852"/>
          </w:tcPr>
          <w:p>
            <w:pPr>
              <w:spacing w:after="60" w:before="60" w:line="240" w:lineRule="auto"/>
            </w:pPr>
            <w:r>
              <w:rPr>
                <w:b w:val="0"/>
                <w:sz w:val="18"/>
              </w:rPr>
              <w:t>0–48</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-25.84 to 0.00</w:t>
            </w:r>
          </w:p>
        </w:tc>
        <w:tc>
          <w:tcPr>
            <w:tcW w:type="dxa" w:w="1852"/>
          </w:tcPr>
          <w:p>
            <w:pPr>
              <w:spacing w:after="60" w:before="60" w:line="240" w:lineRule="auto"/>
            </w:pPr>
            <w:r>
              <w:rPr>
                <w:b w:val="0"/>
                <w:sz w:val="18"/>
              </w:rPr>
              <w:t>0–55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-15.25 to 0.00</w:t>
            </w:r>
          </w:p>
        </w:tc>
        <w:tc>
          <w:tcPr>
            <w:tcW w:type="dxa" w:w="1852"/>
          </w:tcPr>
          <w:p>
            <w:pPr>
              <w:spacing w:after="60" w:before="60" w:line="240" w:lineRule="auto"/>
            </w:pPr>
            <w:r>
              <w:rPr>
                <w:b w:val="0"/>
                <w:sz w:val="18"/>
              </w:rPr>
              <w:t>0–35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-35.40 to 0.00</w:t>
            </w:r>
          </w:p>
        </w:tc>
        <w:tc>
          <w:tcPr>
            <w:tcW w:type="dxa" w:w="1852"/>
          </w:tcPr>
          <w:p>
            <w:pPr>
              <w:spacing w:after="60" w:before="60" w:line="240" w:lineRule="auto"/>
            </w:pPr>
            <w:r>
              <w:rPr>
                <w:b w:val="0"/>
                <w:sz w:val="18"/>
              </w:rPr>
              <w:t>0–83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-25.71 to 0.13</w:t>
            </w:r>
          </w:p>
        </w:tc>
        <w:tc>
          <w:tcPr>
            <w:tcW w:type="dxa" w:w="1852"/>
          </w:tcPr>
          <w:p>
            <w:pPr>
              <w:spacing w:after="60" w:before="60" w:line="240" w:lineRule="auto"/>
            </w:pPr>
            <w:r>
              <w:rPr>
                <w:b w:val="0"/>
                <w:sz w:val="18"/>
              </w:rPr>
              <w:t>0–56</w:t>
            </w:r>
          </w:p>
        </w:tc>
        <w:tc>
          <w:tcPr>
            <w:tcW w:type="dxa" w:w="1852"/>
          </w:tcPr>
          <w:p>
            <w:pPr>
              <w:spacing w:after="60" w:before="60" w:line="240" w:lineRule="auto"/>
            </w:pPr>
            <w:r>
              <w:rPr>
                <w:b w:val="0"/>
                <w:sz w:val="18"/>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Later decision value is assessed jointly through loss, hazardous-shift coverage and workload. At r=10, C can reduce loss relative to A without improving pooled loss relative to no alarms. Its 40 historical no-alarm choices comprise 28 cost optima and 12 capacity-induced changes despite positive reference outcomes. Matched C−A results quantify the accompanying detections, misses and loss. Refitting changes finite-cutoff decisions; invariant no-alarm rules do not establish finite-threshold stability. Selection audits and paired transfer comparisons connect the historical reason for each cutoff to its later loss and inspection demand.</w:t>
      </w:r>
    </w:p>
    <w:p>
      <w:pPr>
        <w:jc w:val="both"/>
      </w:pPr>
      <w:r>
        <w:t>Historical selection, later capacity and model updating require separate evidence. Cross-longwall transfer [7] and new-site cold start [10] concern identified locations; our cutoff comparisons concern later record blocks. Structured validation distinguishes interpolation from extrapolation [8]. Costs and capacity remain hypothetical. Further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pPr>
      <w:r>
        <w:t>Table A1. Matched C−A capacity, detection and loss differences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Δ alerts</w:t>
            </w:r>
          </w:p>
        </w:tc>
        <w:tc>
          <w:tcPr>
            <w:tcW w:type="dxa" w:w="1323"/>
            <w:shd w:fill="EEEEEE"/>
          </w:tcPr>
          <w:p>
            <w:pPr>
              <w:spacing w:after="60" w:before="60" w:line="240" w:lineRule="auto"/>
            </w:pPr>
            <w:r>
              <w:rPr>
                <w:b/>
                <w:sz w:val="18"/>
              </w:rPr>
              <w:t>Δ excess</w:t>
            </w:r>
          </w:p>
        </w:tc>
        <w:tc>
          <w:tcPr>
            <w:tcW w:type="dxa" w:w="1323"/>
            <w:shd w:fill="EEEEEE"/>
          </w:tcPr>
          <w:p>
            <w:pPr>
              <w:spacing w:after="60" w:before="60" w:line="240" w:lineRule="auto"/>
            </w:pPr>
            <w:r>
              <w:rPr>
                <w:b/>
                <w:sz w:val="18"/>
              </w:rPr>
              <w:t>Δ TP</w:t>
            </w:r>
          </w:p>
        </w:tc>
        <w:tc>
          <w:tcPr>
            <w:tcW w:type="dxa" w:w="1323"/>
            <w:shd w:fill="EEEEEE"/>
          </w:tcPr>
          <w:p>
            <w:pPr>
              <w:spacing w:after="60" w:before="60" w:line="240" w:lineRule="auto"/>
            </w:pPr>
            <w:r>
              <w:rPr>
                <w:b/>
                <w:sz w:val="18"/>
              </w:rPr>
              <w:t>Δ FN</w:t>
            </w:r>
          </w:p>
        </w:tc>
        <w:tc>
          <w:tcPr>
            <w:tcW w:type="dxa" w:w="1323"/>
            <w:shd w:fill="EEEEEE"/>
          </w:tcPr>
          <w:p>
            <w:pPr>
              <w:spacing w:after="60" w:before="60" w:line="240" w:lineRule="auto"/>
            </w:pPr>
            <w:r>
              <w:rPr>
                <w:b/>
                <w:sz w:val="18"/>
              </w:rPr>
              <w:t>Δ L100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-0.39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1.36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-37</w:t>
            </w:r>
          </w:p>
        </w:tc>
        <w:tc>
          <w:tcPr>
            <w:tcW w:type="dxa" w:w="1323"/>
          </w:tcPr>
          <w:p>
            <w:pPr>
              <w:spacing w:after="60" w:before="60" w:line="240" w:lineRule="auto"/>
            </w:pPr>
            <w:r>
              <w:rPr>
                <w:b w:val="0"/>
                <w:sz w:val="18"/>
              </w:rPr>
              <w:t>-32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-7.18</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-42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-13.01</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-113</w:t>
            </w:r>
          </w:p>
        </w:tc>
        <w:tc>
          <w:tcPr>
            <w:tcW w:type="dxa" w:w="1323"/>
          </w:tcPr>
          <w:p>
            <w:pPr>
              <w:spacing w:after="60" w:before="60" w:line="240" w:lineRule="auto"/>
            </w:pPr>
            <w:r>
              <w:rPr>
                <w:b w:val="0"/>
                <w:sz w:val="18"/>
              </w:rPr>
              <w:t>-62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-15.53</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-254</w:t>
            </w:r>
          </w:p>
        </w:tc>
        <w:tc>
          <w:tcPr>
            <w:tcW w:type="dxa" w:w="1323"/>
          </w:tcPr>
          <w:p>
            <w:pPr>
              <w:spacing w:after="60" w:before="60" w:line="240" w:lineRule="auto"/>
            </w:pPr>
            <w:r>
              <w:rPr>
                <w:b w:val="0"/>
                <w:sz w:val="18"/>
              </w:rPr>
              <w:t>-151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-36.50</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-55</w:t>
            </w:r>
          </w:p>
        </w:tc>
        <w:tc>
          <w:tcPr>
            <w:tcW w:type="dxa" w:w="1323"/>
          </w:tcPr>
          <w:p>
            <w:pPr>
              <w:spacing w:after="60" w:before="60" w:line="240" w:lineRule="auto"/>
            </w:pPr>
            <w:r>
              <w:rPr>
                <w:b w:val="0"/>
                <w:sz w:val="18"/>
              </w:rPr>
              <w:t>-30</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2.13</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-71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-170</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-11.63</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-17</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0.97</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-36</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-0.58</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-95</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pPr>
      <w:r>
        <w:t>Table A2. Supplementary pooled fixed XGBoost and batch-reference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Rule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L100</w:t>
            </w:r>
          </w:p>
        </w:tc>
        <w:tc>
          <w:tcPr>
            <w:tcW w:type="dxa" w:w="1157"/>
            <w:shd w:fill="EEEEEE"/>
          </w:tcPr>
          <w:p>
            <w:pPr>
              <w:spacing w:after="60" w:before="60" w:line="240" w:lineRule="auto"/>
            </w:pPr>
            <w:r>
              <w:rPr>
                <w:b/>
                <w:sz w:val="18"/>
              </w:rPr>
              <w:t>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r>
      <w:tr>
        <w:trPr>
          <w:cantSplit/>
        </w:trPr>
        <w:tc>
          <w:tcPr>
            <w:tcW w:type="dxa" w:w="1157"/>
          </w:tcPr>
          <w:p>
            <w:pPr>
              <w:spacing w:after="60" w:before="60" w:line="240" w:lineRule="auto"/>
            </w:pPr>
            <w:r>
              <w:rPr>
                <w:b w:val="0"/>
                <w:sz w:val="18"/>
              </w:rPr>
              <w:t>none</w:t>
            </w:r>
          </w:p>
        </w:tc>
        <w:tc>
          <w:tcPr>
            <w:tcW w:type="dxa" w:w="1157"/>
          </w:tcPr>
          <w:p>
            <w:pPr>
              <w:spacing w:after="60" w:before="60" w:line="240" w:lineRule="auto"/>
            </w:pPr>
            <w:r>
              <w:rPr>
                <w:b w:val="0"/>
                <w:sz w:val="18"/>
              </w:rPr>
              <w:t>—</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45.52</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39</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45.90</w:t>
            </w:r>
          </w:p>
        </w:tc>
        <w:tc>
          <w:tcPr>
            <w:tcW w:type="dxa" w:w="1157"/>
          </w:tcPr>
          <w:p>
            <w:pPr>
              <w:spacing w:after="60" w:before="60" w:line="240" w:lineRule="auto"/>
            </w:pPr>
            <w:r>
              <w:rPr>
                <w:b w:val="0"/>
                <w:sz w:val="18"/>
              </w:rPr>
              <w:t>166</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157</w:t>
            </w:r>
          </w:p>
        </w:tc>
        <w:tc>
          <w:tcPr>
            <w:tcW w:type="dxa" w:w="1157"/>
          </w:tcPr>
          <w:p>
            <w:pPr>
              <w:spacing w:after="60" w:before="60" w:line="240" w:lineRule="auto"/>
            </w:pPr>
            <w:r>
              <w:rPr>
                <w:b w:val="0"/>
                <w:sz w:val="18"/>
              </w:rPr>
              <w:t>79</w:t>
            </w:r>
          </w:p>
        </w:tc>
        <w:tc>
          <w:tcPr>
            <w:tcW w:type="dxa" w:w="1157"/>
          </w:tcPr>
          <w:p>
            <w:pPr>
              <w:spacing w:after="60" w:before="60" w:line="240" w:lineRule="auto"/>
            </w:pPr>
            <w:r>
              <w:rPr>
                <w:b w:val="0"/>
                <w:sz w:val="18"/>
              </w:rPr>
              <w:t>81</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47.21</w:t>
            </w:r>
          </w:p>
        </w:tc>
        <w:tc>
          <w:tcPr>
            <w:tcW w:type="dxa" w:w="1157"/>
          </w:tcPr>
          <w:p>
            <w:pPr>
              <w:spacing w:after="60" w:before="60" w:line="240" w:lineRule="auto"/>
            </w:pPr>
            <w:r>
              <w:rPr>
                <w:b w:val="0"/>
                <w:sz w:val="18"/>
              </w:rPr>
              <w:t>248</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234</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84</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56.33</w:t>
            </w:r>
          </w:p>
        </w:tc>
        <w:tc>
          <w:tcPr>
            <w:tcW w:type="dxa" w:w="1157"/>
          </w:tcPr>
          <w:p>
            <w:pPr>
              <w:spacing w:after="60" w:before="60" w:line="240" w:lineRule="auto"/>
            </w:pPr>
            <w:r>
              <w:rPr>
                <w:b w:val="0"/>
                <w:sz w:val="18"/>
              </w:rPr>
              <w:t>557</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532</w:t>
            </w:r>
          </w:p>
        </w:tc>
        <w:tc>
          <w:tcPr>
            <w:tcW w:type="dxa" w:w="1157"/>
          </w:tcPr>
          <w:p>
            <w:pPr>
              <w:spacing w:after="60" w:before="60" w:line="240" w:lineRule="auto"/>
            </w:pPr>
            <w:r>
              <w:rPr>
                <w:b w:val="0"/>
                <w:sz w:val="18"/>
              </w:rPr>
              <w:t>63</w:t>
            </w:r>
          </w:p>
        </w:tc>
        <w:tc>
          <w:tcPr>
            <w:tcW w:type="dxa" w:w="1157"/>
          </w:tcPr>
          <w:p>
            <w:pPr>
              <w:spacing w:after="60" w:before="60" w:line="240" w:lineRule="auto"/>
            </w:pPr>
            <w:r>
              <w:rPr>
                <w:b w:val="0"/>
                <w:sz w:val="18"/>
              </w:rPr>
              <w:t>227</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43.33</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43.48</w:t>
            </w:r>
          </w:p>
        </w:tc>
        <w:tc>
          <w:tcPr>
            <w:tcW w:type="dxa" w:w="1157"/>
          </w:tcPr>
          <w:p>
            <w:pPr>
              <w:spacing w:after="60" w:before="60" w:line="240" w:lineRule="auto"/>
            </w:pPr>
            <w:r>
              <w:rPr>
                <w:b w:val="0"/>
                <w:sz w:val="18"/>
              </w:rPr>
              <w:t>28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27</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43.24</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86</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43.63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43.77</w:t>
            </w:r>
          </w:p>
        </w:tc>
        <w:tc>
          <w:tcPr>
            <w:tcW w:type="dxa" w:w="1157"/>
          </w:tcPr>
          <w:p>
            <w:pPr>
              <w:spacing w:after="60" w:before="60" w:line="240" w:lineRule="auto"/>
            </w:pPr>
            <w:r>
              <w:rPr>
                <w:b w:val="0"/>
                <w:sz w:val="18"/>
              </w:rPr>
              <w:t>100</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93</w:t>
            </w:r>
          </w:p>
        </w:tc>
        <w:tc>
          <w:tcPr>
            <w:tcW w:type="dxa" w:w="1157"/>
          </w:tcPr>
          <w:p>
            <w:pPr>
              <w:spacing w:after="60" w:before="60" w:line="240" w:lineRule="auto"/>
            </w:pPr>
            <w:r>
              <w:rPr>
                <w:b w:val="0"/>
                <w:sz w:val="18"/>
              </w:rPr>
              <w:t>81</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45.08</w:t>
            </w:r>
          </w:p>
        </w:tc>
        <w:tc>
          <w:tcPr>
            <w:tcW w:type="dxa" w:w="1157"/>
          </w:tcPr>
          <w:p>
            <w:pPr>
              <w:spacing w:after="60" w:before="60" w:line="240" w:lineRule="auto"/>
            </w:pPr>
            <w:r>
              <w:rPr>
                <w:b w:val="0"/>
                <w:sz w:val="18"/>
              </w:rPr>
              <w:t>204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190</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46.05</w:t>
            </w:r>
          </w:p>
        </w:tc>
        <w:tc>
          <w:tcPr>
            <w:tcW w:type="dxa" w:w="1157"/>
          </w:tcPr>
          <w:p>
            <w:pPr>
              <w:spacing w:after="60" w:before="60" w:line="240" w:lineRule="auto"/>
            </w:pPr>
            <w:r>
              <w:rPr>
                <w:b w:val="0"/>
                <w:sz w:val="18"/>
              </w:rPr>
              <w:t>411</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380</w:t>
            </w:r>
          </w:p>
        </w:tc>
        <w:tc>
          <w:tcPr>
            <w:tcW w:type="dxa" w:w="1157"/>
          </w:tcPr>
          <w:p>
            <w:pPr>
              <w:spacing w:after="60" w:before="60" w:line="240" w:lineRule="auto"/>
            </w:pPr>
            <w:r>
              <w:rPr>
                <w:b w:val="0"/>
                <w:sz w:val="18"/>
              </w:rPr>
              <w:t>57</w:t>
            </w:r>
          </w:p>
        </w:tc>
        <w:tc>
          <w:tcPr>
            <w:tcW w:type="dxa" w:w="1157"/>
          </w:tcPr>
          <w:p>
            <w:pPr>
              <w:spacing w:after="60" w:before="60" w:line="240" w:lineRule="auto"/>
            </w:pPr>
            <w:r>
              <w:rPr>
                <w:b w:val="0"/>
                <w:sz w:val="18"/>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pPr>
      <w:r>
        <w:t>Table A3. Phase-specific XGBoost A/B/C refitting with historical threshold groups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Finite</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Finite ΔL100 range</w:t>
            </w:r>
          </w:p>
        </w:tc>
        <w:tc>
          <w:tcPr>
            <w:tcW w:type="dxa" w:w="1323"/>
            <w:shd w:fill="EEEEEE"/>
          </w:tcPr>
          <w:p>
            <w:pPr>
              <w:spacing w:after="60" w:before="60" w:line="240" w:lineRule="auto"/>
            </w:pPr>
            <w:r>
              <w:rPr>
                <w:b/>
                <w:sz w:val="18"/>
              </w:rPr>
              <w:t>Finite Δ alerts</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17.05</w:t>
            </w:r>
          </w:p>
        </w:tc>
        <w:tc>
          <w:tcPr>
            <w:tcW w:type="dxa" w:w="1323"/>
          </w:tcPr>
          <w:p>
            <w:pPr>
              <w:spacing w:after="60" w:before="60" w:line="240" w:lineRule="auto"/>
            </w:pPr>
            <w:r>
              <w:rPr>
                <w:b w:val="0"/>
                <w:sz w:val="18"/>
              </w:rPr>
              <w:t>-14 to -4</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18.80</w:t>
            </w:r>
          </w:p>
        </w:tc>
        <w:tc>
          <w:tcPr>
            <w:tcW w:type="dxa" w:w="1323"/>
          </w:tcPr>
          <w:p>
            <w:pPr>
              <w:spacing w:after="60" w:before="60" w:line="240" w:lineRule="auto"/>
            </w:pPr>
            <w:r>
              <w:rPr>
                <w:b w:val="0"/>
                <w:sz w:val="18"/>
              </w:rPr>
              <w:t>-25 to 119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7.75</w:t>
            </w:r>
          </w:p>
        </w:tc>
        <w:tc>
          <w:tcPr>
            <w:tcW w:type="dxa" w:w="1323"/>
          </w:tcPr>
          <w:p>
            <w:pPr>
              <w:spacing w:after="60" w:before="60" w:line="240" w:lineRule="auto"/>
            </w:pPr>
            <w:r>
              <w:rPr>
                <w:b w:val="0"/>
                <w:sz w:val="18"/>
              </w:rPr>
              <w:t>-11 to -4</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-18.83 to 11.84</w:t>
            </w:r>
          </w:p>
        </w:tc>
        <w:tc>
          <w:tcPr>
            <w:tcW w:type="dxa" w:w="1323"/>
          </w:tcPr>
          <w:p>
            <w:pPr>
              <w:spacing w:after="60" w:before="60" w:line="240" w:lineRule="auto"/>
            </w:pPr>
            <w:r>
              <w:rPr>
                <w:b w:val="0"/>
                <w:sz w:val="18"/>
              </w:rPr>
              <w:t>-97 to -6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-13.76 to 18.22</w:t>
            </w:r>
          </w:p>
        </w:tc>
        <w:tc>
          <w:tcPr>
            <w:tcW w:type="dxa" w:w="1323"/>
          </w:tcPr>
          <w:p>
            <w:pPr>
              <w:spacing w:after="60" w:before="60" w:line="240" w:lineRule="auto"/>
            </w:pPr>
            <w:r>
              <w:rPr>
                <w:b w:val="0"/>
                <w:sz w:val="18"/>
              </w:rPr>
              <w:t>-8 to 82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-17.64</w:t>
            </w:r>
          </w:p>
        </w:tc>
        <w:tc>
          <w:tcPr>
            <w:tcW w:type="dxa" w:w="1323"/>
          </w:tcPr>
          <w:p>
            <w:pPr>
              <w:spacing w:after="60" w:before="60" w:line="240" w:lineRule="auto"/>
            </w:pPr>
            <w:r>
              <w:rPr>
                <w:b w:val="0"/>
                <w:sz w:val="18"/>
              </w:rPr>
              <w:t>62 to 62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-5.23 to 3.49</w:t>
            </w:r>
          </w:p>
        </w:tc>
        <w:tc>
          <w:tcPr>
            <w:tcW w:type="dxa" w:w="1323"/>
          </w:tcPr>
          <w:p>
            <w:pPr>
              <w:spacing w:after="60" w:before="60" w:line="240" w:lineRule="auto"/>
            </w:pPr>
            <w:r>
              <w:rPr>
                <w:b w:val="0"/>
                <w:sz w:val="18"/>
              </w:rPr>
              <w:t>-5 to 24</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0.58</w:t>
            </w:r>
          </w:p>
        </w:tc>
        <w:tc>
          <w:tcPr>
            <w:tcW w:type="dxa" w:w="1323"/>
          </w:tcPr>
          <w:p>
            <w:pPr>
              <w:spacing w:after="60" w:before="60" w:line="240" w:lineRule="auto"/>
            </w:pPr>
            <w:r>
              <w:rPr>
                <w:b w:val="0"/>
                <w:sz w:val="18"/>
              </w:rPr>
              <w:t>-7 to 66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-11.05 to 0.39</w:t>
            </w:r>
          </w:p>
        </w:tc>
        <w:tc>
          <w:tcPr>
            <w:tcW w:type="dxa" w:w="1323"/>
          </w:tcPr>
          <w:p>
            <w:pPr>
              <w:spacing w:after="60" w:before="60" w:line="240" w:lineRule="auto"/>
            </w:pPr>
            <w:r>
              <w:rPr>
                <w:b w:val="0"/>
                <w:sz w:val="18"/>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pPr>
      <w:r>
        <w:t>Table A4. Pooled expected absolute C loss per 100 across four historical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10.00 to 11.36</w:t>
            </w:r>
          </w:p>
        </w:tc>
        <w:tc>
          <w:tcPr>
            <w:tcW w:type="dxa" w:w="1852"/>
          </w:tcPr>
          <w:p>
            <w:pPr>
              <w:spacing w:after="60" w:before="60" w:line="240" w:lineRule="auto"/>
            </w:pPr>
            <w:r>
              <w:rPr>
                <w:b w:val="0"/>
                <w:sz w:val="18"/>
              </w:rPr>
              <w:t>25.00 to 25.97</w:t>
            </w:r>
          </w:p>
        </w:tc>
        <w:tc>
          <w:tcPr>
            <w:tcW w:type="dxa" w:w="1852"/>
          </w:tcPr>
          <w:p>
            <w:pPr>
              <w:spacing w:after="60" w:before="60" w:line="240" w:lineRule="auto"/>
            </w:pPr>
            <w:r>
              <w:rPr>
                <w:b w:val="0"/>
                <w:sz w:val="18"/>
              </w:rPr>
              <w:t>50.00 to 50.53</w:t>
            </w:r>
          </w:p>
        </w:tc>
        <w:tc>
          <w:tcPr>
            <w:tcW w:type="dxa" w:w="1852"/>
          </w:tcPr>
          <w:p>
            <w:pPr>
              <w:spacing w:after="60" w:before="60" w:line="240" w:lineRule="auto"/>
            </w:pPr>
            <w:r>
              <w:rPr>
                <w:b w:val="0"/>
                <w:sz w:val="18"/>
              </w:rPr>
              <w:t>74.67 to 75.18</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20.00 to 21.13</w:t>
            </w:r>
          </w:p>
        </w:tc>
        <w:tc>
          <w:tcPr>
            <w:tcW w:type="dxa" w:w="1852"/>
          </w:tcPr>
          <w:p>
            <w:pPr>
              <w:spacing w:after="60" w:before="60" w:line="240" w:lineRule="auto"/>
            </w:pPr>
            <w:r>
              <w:rPr>
                <w:b w:val="0"/>
                <w:sz w:val="18"/>
              </w:rPr>
              <w:t>50.00 to 50.73</w:t>
            </w:r>
          </w:p>
        </w:tc>
        <w:tc>
          <w:tcPr>
            <w:tcW w:type="dxa" w:w="1852"/>
          </w:tcPr>
          <w:p>
            <w:pPr>
              <w:spacing w:after="60" w:before="60" w:line="240" w:lineRule="auto"/>
            </w:pPr>
            <w:r>
              <w:rPr>
                <w:b w:val="0"/>
                <w:sz w:val="18"/>
              </w:rPr>
              <w:t>99.19 to 100.09</w:t>
            </w:r>
          </w:p>
        </w:tc>
        <w:tc>
          <w:tcPr>
            <w:tcW w:type="dxa" w:w="1852"/>
          </w:tcPr>
          <w:p>
            <w:pPr>
              <w:spacing w:after="60" w:before="60" w:line="240" w:lineRule="auto"/>
            </w:pPr>
            <w:r>
              <w:rPr>
                <w:b w:val="0"/>
                <w:sz w:val="18"/>
              </w:rPr>
              <w:t>147.97 to 150.00</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40.00 to 41.16</w:t>
            </w:r>
          </w:p>
        </w:tc>
        <w:tc>
          <w:tcPr>
            <w:tcW w:type="dxa" w:w="1852"/>
          </w:tcPr>
          <w:p>
            <w:pPr>
              <w:spacing w:after="60" w:before="60" w:line="240" w:lineRule="auto"/>
            </w:pPr>
            <w:r>
              <w:rPr>
                <w:b w:val="0"/>
                <w:sz w:val="18"/>
              </w:rPr>
              <w:t>97.44 to 100.02</w:t>
            </w:r>
          </w:p>
        </w:tc>
        <w:tc>
          <w:tcPr>
            <w:tcW w:type="dxa" w:w="1852"/>
          </w:tcPr>
          <w:p>
            <w:pPr>
              <w:spacing w:after="60" w:before="60" w:line="240" w:lineRule="auto"/>
            </w:pPr>
            <w:r>
              <w:rPr>
                <w:b w:val="0"/>
                <w:sz w:val="18"/>
              </w:rPr>
              <w:t>191.60 to 200.00</w:t>
            </w:r>
          </w:p>
        </w:tc>
        <w:tc>
          <w:tcPr>
            <w:tcW w:type="dxa" w:w="1852"/>
          </w:tcPr>
          <w:p>
            <w:pPr>
              <w:spacing w:after="60" w:before="60" w:line="240" w:lineRule="auto"/>
            </w:pPr>
            <w:r>
              <w:rPr>
                <w:b w:val="0"/>
                <w:sz w:val="18"/>
              </w:rPr>
              <w:t>285.75 to 300.00</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98.34 to 100.05</w:t>
            </w:r>
          </w:p>
        </w:tc>
        <w:tc>
          <w:tcPr>
            <w:tcW w:type="dxa" w:w="1852"/>
          </w:tcPr>
          <w:p>
            <w:pPr>
              <w:spacing w:after="60" w:before="60" w:line="240" w:lineRule="auto"/>
            </w:pPr>
            <w:r>
              <w:rPr>
                <w:b w:val="0"/>
                <w:sz w:val="18"/>
              </w:rPr>
              <w:t>237.96 to 250.00</w:t>
            </w:r>
          </w:p>
        </w:tc>
        <w:tc>
          <w:tcPr>
            <w:tcW w:type="dxa" w:w="1852"/>
          </w:tcPr>
          <w:p>
            <w:pPr>
              <w:spacing w:after="60" w:before="60" w:line="240" w:lineRule="auto"/>
            </w:pPr>
            <w:r>
              <w:rPr>
                <w:b w:val="0"/>
                <w:sz w:val="18"/>
              </w:rPr>
              <w:t>470.65 to 500.00</w:t>
            </w:r>
          </w:p>
        </w:tc>
        <w:tc>
          <w:tcPr>
            <w:tcW w:type="dxa" w:w="1852"/>
          </w:tcPr>
          <w:p>
            <w:pPr>
              <w:spacing w:after="60" w:before="60" w:line="240" w:lineRule="auto"/>
            </w:pPr>
            <w:r>
              <w:rPr>
                <w:b w:val="0"/>
                <w:sz w:val="18"/>
              </w:rPr>
              <w:t>703.34 to 750.00</w:t>
            </w:r>
          </w:p>
        </w:tc>
      </w:tr>
    </w:tbl>
    <w:p>
      <w:pPr>
        <w:pStyle w:val="Heading1"/>
        <w:pageBreakBefore/>
      </w:pPr>
      <w:r>
        <w:t>Appendix C Budget-specific prior shift and reproducibility</w:t>
      </w:r>
    </w:p>
    <w:p>
      <w:pPr>
        <w:pStyle w:val="Caption"/>
      </w:pPr>
      <w:r>
        <w:t>Table A5. Budget-specific pooled fixed XGBoost C prior-shift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Historical budget</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0.96</w:t>
              <w:br/>
              <w:t>1.21%</w:t>
            </w:r>
          </w:p>
        </w:tc>
        <w:tc>
          <w:tcPr>
            <w:tcW w:type="dxa" w:w="1852"/>
          </w:tcPr>
          <w:p>
            <w:pPr>
              <w:spacing w:after="60" w:before="60" w:line="240" w:lineRule="auto"/>
            </w:pPr>
            <w:r>
              <w:rPr>
                <w:b w:val="0"/>
                <w:sz w:val="18"/>
              </w:rPr>
              <w:t>0.59</w:t>
              <w:br/>
              <w:t>1.21%</w:t>
            </w:r>
          </w:p>
        </w:tc>
        <w:tc>
          <w:tcPr>
            <w:tcW w:type="dxa" w:w="1852"/>
          </w:tcPr>
          <w:p>
            <w:pPr>
              <w:spacing w:after="60" w:before="60" w:line="240" w:lineRule="auto"/>
            </w:pPr>
            <w:r>
              <w:rPr>
                <w:b w:val="0"/>
                <w:sz w:val="18"/>
              </w:rPr>
              <w:t>-0.04</w:t>
              <w:br/>
              <w:t>1.21%</w:t>
            </w:r>
          </w:p>
        </w:tc>
        <w:tc>
          <w:tcPr>
            <w:tcW w:type="dxa" w:w="1852"/>
          </w:tcPr>
          <w:p>
            <w:pPr>
              <w:spacing w:after="60" w:before="60" w:line="240" w:lineRule="auto"/>
            </w:pPr>
            <w:r>
              <w:rPr>
                <w:b w:val="0"/>
                <w:sz w:val="18"/>
              </w:rPr>
              <w:t>-0.67</w:t>
              <w:br/>
              <w:t>1.20%</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1.11</w:t>
              <w:br/>
              <w:t>1.36%</w:t>
            </w:r>
          </w:p>
        </w:tc>
        <w:tc>
          <w:tcPr>
            <w:tcW w:type="dxa" w:w="1852"/>
          </w:tcPr>
          <w:p>
            <w:pPr>
              <w:spacing w:after="60" w:before="60" w:line="240" w:lineRule="auto"/>
            </w:pPr>
            <w:r>
              <w:rPr>
                <w:b w:val="0"/>
                <w:sz w:val="18"/>
              </w:rPr>
              <w:t>0.73</w:t>
              <w:br/>
              <w:t>1.36%</w:t>
            </w:r>
          </w:p>
        </w:tc>
        <w:tc>
          <w:tcPr>
            <w:tcW w:type="dxa" w:w="1852"/>
          </w:tcPr>
          <w:p>
            <w:pPr>
              <w:spacing w:after="60" w:before="60" w:line="240" w:lineRule="auto"/>
            </w:pPr>
            <w:r>
              <w:rPr>
                <w:b w:val="0"/>
                <w:sz w:val="18"/>
              </w:rPr>
              <w:t>0.09</w:t>
              <w:br/>
              <w:t>1.34%</w:t>
            </w:r>
          </w:p>
        </w:tc>
        <w:tc>
          <w:tcPr>
            <w:tcW w:type="dxa" w:w="1852"/>
          </w:tcPr>
          <w:p>
            <w:pPr>
              <w:spacing w:after="60" w:before="60" w:line="240" w:lineRule="auto"/>
            </w:pPr>
            <w:r>
              <w:rPr>
                <w:b w:val="0"/>
                <w:sz w:val="18"/>
              </w:rPr>
              <w:t>-0.54</w:t>
              <w:br/>
              <w:t>1.33%</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1.13</w:t>
              <w:br/>
              <w:t>1.63%</w:t>
            </w:r>
          </w:p>
        </w:tc>
        <w:tc>
          <w:tcPr>
            <w:tcW w:type="dxa" w:w="1852"/>
          </w:tcPr>
          <w:p>
            <w:pPr>
              <w:spacing w:after="60" w:before="60" w:line="240" w:lineRule="auto"/>
            </w:pPr>
            <w:r>
              <w:rPr>
                <w:b w:val="0"/>
                <w:sz w:val="18"/>
              </w:rPr>
              <w:t>0.40</w:t>
              <w:br/>
              <w:t>1.65%</w:t>
            </w:r>
          </w:p>
        </w:tc>
        <w:tc>
          <w:tcPr>
            <w:tcW w:type="dxa" w:w="1852"/>
          </w:tcPr>
          <w:p>
            <w:pPr>
              <w:spacing w:after="60" w:before="60" w:line="240" w:lineRule="auto"/>
            </w:pPr>
            <w:r>
              <w:rPr>
                <w:b w:val="0"/>
                <w:sz w:val="18"/>
              </w:rPr>
              <w:t>-0.81</w:t>
              <w:br/>
              <w:t>1.69%</w:t>
            </w:r>
          </w:p>
        </w:tc>
        <w:tc>
          <w:tcPr>
            <w:tcW w:type="dxa" w:w="1852"/>
          </w:tcPr>
          <w:p>
            <w:pPr>
              <w:spacing w:after="60" w:before="60" w:line="240" w:lineRule="auto"/>
            </w:pPr>
            <w:r>
              <w:rPr>
                <w:b w:val="0"/>
                <w:sz w:val="18"/>
              </w:rPr>
              <w:t>-2.03</w:t>
              <w:br/>
              <w:t>1.72%</w:t>
            </w:r>
          </w:p>
        </w:tc>
      </w:tr>
    </w:tbl>
    <w:p>
      <w:pPr>
        <w:jc w:val="both"/>
      </w:pPr>
      <w:r>
        <w:t>Each cell pairs relative loss per 100 shifts with expected alert percentage for one budget and scenario. Negative differences favor C over no alarms at r=10. All sixteen entries freeze historical rules and class-conditional rates; full files retain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15 model pairs and paired resampling. The results/phase2 directory retains row evidence, threshold candidates, audits, evaluations, contrasts and bootstrap arrays. Infinite thresholds are sentinels; empty cells denote undefined quantities.</w:t>
      </w:r>
    </w:p>
    <w:p>
      <w:pPr>
        <w:jc w:val="both"/>
      </w:pPr>
      <w:r>
        <w:t>Manifests and checks establish provenance for generated tables and figures. Code, commands and complete evidence: https://github.com/junjie-yang11/seismic-bump-forecasting. Reference metadata were cross-checked with the citation-management tools in Scientific Agent Skills [9].</w:t>
      </w:r>
    </w:p>
    <w:p>
      <w:pPr>
        <w:jc w:val="both"/>
      </w:pPr>
      <w:r>
        <w:t>The author directed scope, protocol refinement and review priorities. ChatGPT and Codex substantially assisted implementation, execution, verification and writing. CONTRIBUTIONS.md in the repository separates author review from computational checks and links project decisions to evidence.</w:t>
      </w:r>
    </w:p>
    <w:p>
      <w:pPr>
        <w:pStyle w:val="Heading1"/>
        <w:pageBreakBefore/>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p>
      <w:pPr>
        <w:jc w:val="both"/>
      </w:pPr>
      <w:r>
        <w:t>[9] Kassis T, Agarwal V, He Y, Patel D, Brueckner AM. Scientific Agent Skills: A Library of Procedural Knowledge for Research Agents. arXiv; 2026. doi:10.48550/arXiv.2609.00065. https://arxiv.org/abs/2609.00065.</w:t>
      </w:r>
    </w:p>
    <w:p>
      <w:pPr>
        <w:jc w:val="both"/>
      </w:pPr>
      <w:r>
        <w:t>[10] Janusz A, Grzegorowski M, Michalak M, Wrobel L, Sikora M, Slezak D. Predicting seismic events in coal mines based on underground sensor measurements. Engineering Applications of Artificial Intelligence; 2017;64:83–94. doi:10.1016/j.engappai.2017.06.002.</w:t>
      </w:r>
    </w:p>
    <w:p>
      <w:pPr>
        <w:jc w:val="both"/>
      </w:pPr>
      <w:r>
        <w:t>[11] Anikiev D, Birnie C, Waheed Ub, Alkhalifah T, Gu C, Verschuur DJ, Eisner L. Machine learning in microseismic monitoring. Earth-Science Reviews; 2023;239:104371. doi:10.1016/j.earscirev.2023.104371.</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